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87S21635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Cenikor Foundation, a nonprofit organization dedicated to helping clients break free from drug and alcohol addiction, is celebrating the 55th anniversary of its founding in 2021; and</w:t>
      </w:r>
    </w:p>
    <w:p w:rsidR="003F3435" w:rsidRDefault="0032493E">
      <w:pPr>
        <w:spacing w:line="480" w:lineRule="auto"/>
        <w:ind w:firstLine="720"/>
        <w:jc w:val="both"/>
      </w:pPr>
      <w:r>
        <w:t xml:space="preserve">WHEREAS, Operating at nearly a dozen locations throughout the state of Texas, the Cenikor Foundation administers adult and youth recovery programs that are certified by the Commission on Accreditation of Rehabilitation Facilities; its spectrum of care includes prevention services, short-term residential treatment, outpatient treatment, detoxification services, and a new sober living program, which provide clients with various ways to work toward long-term sobriety while also accommodating their schedules and individual needs; and</w:t>
      </w:r>
    </w:p>
    <w:p w:rsidR="003F3435" w:rsidRDefault="0032493E">
      <w:pPr>
        <w:spacing w:line="480" w:lineRule="auto"/>
        <w:ind w:firstLine="720"/>
        <w:jc w:val="both"/>
      </w:pPr>
      <w:r>
        <w:t xml:space="preserve">WHEREAS, Last year, the Cenikor Foundation served more than 2,000 people in the Corpus Christi Community; its Corpus Christi facility offers inpatient and outpatient detox, prevention, and recovery programs, as well as short-term residential care; and</w:t>
      </w:r>
    </w:p>
    <w:p w:rsidR="003F3435" w:rsidRDefault="0032493E">
      <w:pPr>
        <w:spacing w:line="480" w:lineRule="auto"/>
        <w:ind w:firstLine="720"/>
        <w:jc w:val="both"/>
      </w:pPr>
      <w:r>
        <w:t xml:space="preserve">WHEREAS, For over half a century, the Cenikor Foundation has been a critical lifeline for thousands of Texans, including many Corpus Christi residents, and this anniversary celebration presents a welcome opportunity to recognize a truly commendable organization; now, therefore, be it</w:t>
      </w:r>
    </w:p>
    <w:p w:rsidR="003F3435" w:rsidRDefault="0032493E">
      <w:pPr>
        <w:spacing w:line="480" w:lineRule="auto"/>
        <w:ind w:firstLine="720"/>
        <w:jc w:val="both"/>
      </w:pPr>
      <w:r>
        <w:t xml:space="preserve">RESOLVED, That the House of Representatives of the 87th Texas Legislature, 2nd Called Session, hereby congratulate the Cenikor Foundation on its 55th anniversary and extend to its staff and clients sincere best wishes for the future; and, be it further</w:t>
      </w:r>
    </w:p>
    <w:p w:rsidR="003F3435" w:rsidRDefault="0032493E">
      <w:pPr>
        <w:spacing w:line="480" w:lineRule="auto"/>
        <w:ind w:firstLine="720"/>
        <w:jc w:val="both"/>
      </w:pPr>
      <w:r>
        <w:t xml:space="preserve">RESOLVED, That an official copy of this resolution be prepared for the Cenikor Foundation facility in Corpus Christi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