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87S20022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 students to compete in interscholastic athletic competitions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COMPETITION BASED ON BIOLOGICAL SEX.  (a) </w:t>
      </w:r>
      <w:r>
        <w:rPr>
          <w:u w:val="single"/>
        </w:rPr>
        <w:t xml:space="preserve"> </w:t>
      </w:r>
      <w:r>
        <w:rPr>
          <w:u w:val="single"/>
        </w:rPr>
        <w:t xml:space="preserve">Except as provided by Subsection (b), an interscholastic athletic team sponsored or authorized by a school district or open-enrollment charter school may not allow a student to compete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University Interscholastic League shall adopt rules to implement this section, provided that the rules must be approved by the commissioner in accordance with Section 33.083(b).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