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6</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7,</w:t>
      </w:r>
      <w:r xml:space="preserve">
        <w:t> </w:t>
      </w:r>
      <w:r>
        <w:t xml:space="preserve">2021; August</w:t>
      </w:r>
      <w:r xml:space="preserve">
        <w:t> </w:t>
      </w:r>
      <w:r>
        <w:t xml:space="preserve">7,</w:t>
      </w:r>
      <w:r xml:space="preserve">
        <w:t> </w:t>
      </w:r>
      <w:r>
        <w:t xml:space="preserve">2021, read first time and referred to Committee on Jurisprudence; August</w:t>
      </w:r>
      <w:r xml:space="preserve">
        <w:t> </w:t>
      </w:r>
      <w:r>
        <w:t xml:space="preserve">7,</w:t>
      </w:r>
      <w:r xml:space="preserve">
        <w:t> </w:t>
      </w:r>
      <w:r>
        <w:t xml:space="preserve">2021, reported favorably by the following vote:</w:t>
      </w:r>
      <w:r>
        <w:t xml:space="preserve"> </w:t>
      </w:r>
      <w:r>
        <w:t xml:space="preserve"> </w:t>
      </w:r>
      <w:r>
        <w:t xml:space="preserve">Yeas 5, Nays 0; August</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t xml:space="preserve">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w:t>
      </w:r>
      <w:r>
        <w:t xml:space="preserve"> </w:t>
      </w:r>
      <w:r>
        <w:t xml:space="preserve">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w:t>
      </w:r>
      <w:r>
        <w:t xml:space="preserve"> </w:t>
      </w:r>
      <w:r>
        <w:t xml:space="preserve">The magistrate shall also inform the person arrested of the person's right to request the appointment of counsel if the person cannot afford counsel. </w:t>
      </w:r>
      <w:r>
        <w:t xml:space="preserve"> </w:t>
      </w:r>
      <w:r>
        <w:t xml:space="preserve">The magistrate shall inform the person arrested of the procedures for requesting appointment of counsel. </w:t>
      </w:r>
      <w:r>
        <w:t xml:space="preserve"> </w:t>
      </w:r>
      <w:r>
        <w:rPr>
          <w:u w:val="single"/>
        </w:rPr>
        <w:t xml:space="preserve">If applicable, the magistrate shall inform the person that the person may file the affidavit described by Article 17.028(f).</w:t>
      </w:r>
      <w:r>
        <w:t xml:space="preserve"> If the person does not speak and understand the English language or is deaf, the magistrate shall inform the person in a manner consistent with Articles 38.30 and 38.31, as appropriate. </w:t>
      </w:r>
      <w:r>
        <w:t xml:space="preserve"> </w:t>
      </w:r>
      <w:r>
        <w:t xml:space="preserve">The magistrate shall ensure that reasonable assistance in completing the necessary forms for requesting appointment of counsel is provided to the person at the same time. </w:t>
      </w:r>
      <w:r>
        <w:t xml:space="preserve">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w:t>
      </w:r>
      <w:r>
        <w:t xml:space="preserve"> </w:t>
      </w:r>
      <w:r>
        <w:t xml:space="preserve">The magistrate shall also inform the person arrested that he is not required to make a statement and that any statement made by him may be used against him. </w:t>
      </w:r>
      <w:r>
        <w:t xml:space="preserve"> </w:t>
      </w:r>
      <w:r>
        <w:t xml:space="preserve">The magistrate shall allow the person arrested reasonable time and opportunity to consult counsel and shall, after determining whether the person is currently on bail for a separate criminal offense </w:t>
      </w:r>
      <w:r>
        <w:rPr>
          <w:u w:val="single"/>
        </w:rPr>
        <w:t xml:space="preserve">and whether the bail decision is subject to Article 17.027</w:t>
      </w:r>
      <w:r>
        <w:t xml:space="preserve">, admit the person arrested to bail if allowed by law.  A record of the communication between the arrested person and the magistrate shall be made. </w:t>
      </w:r>
      <w:r>
        <w:t xml:space="preserve"> </w:t>
      </w:r>
      <w:r>
        <w:t xml:space="preserve">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w:t>
      </w:r>
      <w:r>
        <w:t xml:space="preserve">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and list each factor provided by Article 17.15(a);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defendant's name and date of birth, the cause number of the case, if available, and the offense for which the defendant was arrested;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 offenses involving violence as defined by Article 17.03;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designed to collect and maintain the information provided on a bail form submitted under Section 72.038,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and each municipality at no cost.  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use the information maintained under Subsection (b)(6) to collect data regarding the number of defendants for whom bail was set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public safety report before setting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but not later than 72 hours after the time bail is set, submit the bail form described by Section 72.038, Government Code, in accordance with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but is not required to, order, prepare, or consider a public safety report in setting bail for a defendant charged only with a misdemeanor punishable by fine only.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resident of this state and one of the counties served by the magistrate;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justice of the peace serving under Section 27.054 or 27.055,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judge or justice serving under Chapter 74,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that includes the content of the applicable training course described by Article 17.0501;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as provided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January 1, 2022, is considered to be in compliance with Subsection (c)(1) if the magistrate successfully completes the training course not later than September 1, 2022.  This subsection expires February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defendant is charged with committing an offense punishable as a felony while released on bail for another offense punishable as a felony and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defendant is charged with committing an offense while released on bail for another offense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surety or cash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For purposes of setting bail or rebutting the presumption, the court may not consider testimonial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________ (name of the court or magistrate, as applicable)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that an appropriate bail be set.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information a court may consider under Article 26.04(m).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magistrate making the bail decision under Subsection (a) shall,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defendant of the defendant's right to file an affidavit under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described by Subsection (f) may file an affidavit under Subsection (f) at any time before or during the bail proceeding under Subsection (a). </w:t>
      </w:r>
      <w:r>
        <w:rPr>
          <w:u w:val="single"/>
        </w:rPr>
        <w:t xml:space="preserve"> </w:t>
      </w:r>
      <w:r>
        <w:rPr>
          <w:u w:val="single"/>
        </w:rPr>
        <w:t xml:space="preserve">A defendant who files an affidavit under Subsection (f) is entitled to a prompt hearing before the magistrate on the bail amount. </w:t>
      </w:r>
      <w:r>
        <w:rPr>
          <w:u w:val="single"/>
        </w:rPr>
        <w:t xml:space="preserve"> </w:t>
      </w:r>
      <w:r>
        <w:rPr>
          <w:u w:val="single"/>
        </w:rPr>
        <w:t xml:space="preserve">The hearing may be held before the magistrate making the bail decision under Subsection (a) or may occur as a separate pretrial proceeding held for that purpose. </w:t>
      </w:r>
      <w:r>
        <w:rPr>
          <w:u w:val="single"/>
        </w:rPr>
        <w:t xml:space="preserve"> </w:t>
      </w:r>
      <w:r>
        <w:rPr>
          <w:u w:val="single"/>
        </w:rPr>
        <w:t xml:space="preserve">The defendant must be given the opportunity to present evidence and respond to evidence presented by the attorney representing the state.  The magistrate shall consider the facts presented and the rules established by Article 17.15(a) and shall set the defendant's bail.  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and other magistrates in a county must report to the Office of Court Administration of the Texas Judicial System each defendant for whom a hearing under Subsection (h) was not held within 48 hours of the defendant's arrest.  If a delay occurs that will cause the hearing under Subsection (h) to be held later than 48 hours after the defendant's arrest, the magistrate or an employee of the court or of the county in which the defendant is confined must notify the defendant's counsel of the delay.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capable of executing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 (a), a magistrate may make a bail decision regarding a defendant who is charged only with a misdemeanor punishable by fine only without considering the factor required by Article 17.15(a)(6).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 if this Act does not receive a vote of two-thirds of all the members elected to each house, as provided by Section 39, Article III, Texas Constitution.  If this Act receives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17.03, Code of Criminal Procedure,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Children);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17, Code of Criminal Procedure, is amended by adding Articles 17.0501 and 17.071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17.071.</w:t>
      </w:r>
      <w:r>
        <w:rPr>
          <w:u w:val="single"/>
        </w:rPr>
        <w:t xml:space="preserve"> </w:t>
      </w:r>
      <w:r>
        <w:rPr>
          <w:u w:val="single"/>
        </w:rPr>
        <w:t xml:space="preserve"> </w:t>
      </w:r>
      <w:r>
        <w:rPr>
          <w:u w:val="single"/>
        </w:rPr>
        <w:t xml:space="preserve">CHARITABLE BAIL ORGANIZATIONS.  (a)  In this article, "charitable bail organization" means a person who solicits donations from the public for the purpose of depositing money with a court in the amount of a defendant's bail bond.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soliciting donations with respect to a defendant who is a member of the person's family, as determined under Section 71.003,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corporation organized for the purpose of religious worship.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does not apply to a charitable bail organization that pays a bail bond for not more than three defendants in any 180-day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charitable bail organization shall file in the office of the county clerk of each county where the organization intends to pay bail bonds an affidavit designating the individuals authorized to pay bonds on behalf of the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charitable bail organization may only pay bail bonds for indigent defendants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charged with an offense involving violence as defined by Article 17.03;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convicted of an offense involving violence as defined by Article 17.03 during the 10-year period preceding the date of the defendant's arrest for the instant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10th day of each month, a charitable bail organization shall submit, to the presiding judge of the administrative judicial region for each county in which the organization files an affidavit under Subsection (c), a report that includes the following information for each defendant for whom the organization paid a bail bond in the preceding calendar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 of the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applicable charge is pending, if different from the county in which the bond was paid;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dates on which the defendant has failed to appear in court as required for the charge for which the bond was paid.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charitable bail organization may not pay a bail bond for a defendant at any time the organization is considered to be out of compliance with the reporting requirements of this article.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presiding judge of an administrative judicial region may suspend a charitable bail organization from paying bail bonds in the administrative judicial region for one year if the presiding judge determines the organization has paid bonds in violation of this article.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22 applies to a bail bond paid by a charitable bail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charitable bail organization may not accept a premium or compensation for paying a bail bond for a defendant.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t xml:space="preserve">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t xml:space="preserve"> </w:t>
      </w:r>
      <w:r>
        <w:rPr>
          <w:u w:val="single"/>
        </w:rPr>
        <w:t xml:space="preserve">(a)</w:t>
      </w:r>
      <w:r xml:space="preserve">
        <w:t> </w:t>
      </w:r>
      <w:r xml:space="preserve">
        <w:t> </w:t>
      </w:r>
      <w:r>
        <w:t xml:space="preserve">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t xml:space="preserve"> </w:t>
      </w:r>
      <w:r>
        <w:rPr>
          <w:u w:val="single"/>
        </w:rPr>
        <w:t xml:space="preserve">(a)</w:t>
      </w:r>
      <w:r xml:space="preserve">
        <w:t> </w:t>
      </w:r>
      <w:r xml:space="preserve">
        <w:t> </w:t>
      </w:r>
      <w:r>
        <w:t xml:space="preserve">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where the defendant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w:t>
      </w:r>
      <w:r>
        <w:rPr>
          <w:u w:val="single"/>
        </w:rPr>
        <w:t xml:space="preserve"> </w:t>
      </w:r>
      <w:r>
        <w:rPr>
          <w:u w:val="single"/>
        </w:rPr>
        <w:t xml:space="preserve">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described by Subsection (a)(1)(A) may include a course described by Subsection (a)(1)(B).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surety or cash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bail under Chapter 17, Code of Criminal Procedure, for a defendant charged with an offense punishable as a Class B misdemeanor or any higher category of offense. </w:t>
      </w:r>
      <w:r>
        <w:rPr>
          <w:u w:val="single"/>
        </w:rPr>
        <w:t xml:space="preserve"> </w:t>
      </w:r>
      <w:r>
        <w:rPr>
          <w:u w:val="single"/>
        </w:rPr>
        <w:t xml:space="preserve">The office shall incorporate the completed forms into the public safety report system developed under Article 17.021,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electronically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t>
      </w:r>
      <w:r>
        <w:t xml:space="preserve">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but not later than January 1, 2022,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and each municipality access to the system, forms, and materials at no cost.  If those items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As soon as practicable but not later than January 1, 2022,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January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23(c) of this Act.  A withdrawal of funds from a court registry made before the effective date provided by Section 23(c)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or (c) of this section or another provision of this Act, this Act takes effect January 1, 2022.</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June 1, 2022, but only if the constitutional amendment proposed by the 87th Legislature, 2nd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w:t>
      </w:r>
      <w:r>
        <w:t xml:space="preserve"> </w:t>
      </w:r>
      <w:r>
        <w:t xml:space="preserve">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4, 17, 19, 20, and 21 of this Act take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