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w:t>
      </w:r>
      <w:r>
        <w:rPr>
          <w:u w:val="single"/>
        </w:rPr>
        <w:t xml:space="preserve"> </w:t>
      </w:r>
      <w:r>
        <w:rPr>
          <w:u w:val="single"/>
        </w:rPr>
        <w:t xml:space="preserve">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legislature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15,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15, 2021, and on or before December 28,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December 28, 2021, and on or before February 7,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plan for a State Board of Education, state legislative, or federal congressional district becomes law on dates included under more than one subdivision of Subsection (c), the latest dates provided for the filing period and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redistricting plan to which this section applies has not become law on or before February 7, 2022, the secretary of state shall set the dates of the filing period and the general and runoff primary elections for the election of officers of the districts to which this section applies. </w:t>
      </w:r>
      <w:r>
        <w:rPr>
          <w:u w:val="single"/>
        </w:rPr>
        <w:t xml:space="preserve"> </w:t>
      </w:r>
      <w:r>
        <w:rPr>
          <w:u w:val="single"/>
        </w:rPr>
        <w:t xml:space="preserve">In setting dates under this subsection, the secretary of state shall ensure the efficient and orderly administration of elections and shall, to the extent practicable, set dates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(h), a date set for the filing period or the general primary election under Subsection (c) or (d) shall be the date of any filing period provided under this code or of any general primary election held under this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 </w:t>
      </w:r>
      <w:r>
        <w:rPr>
          <w:u w:val="single"/>
        </w:rPr>
        <w:t xml:space="preserve"> </w:t>
      </w:r>
      <w:r>
        <w:rPr>
          <w:u w:val="single"/>
        </w:rPr>
        <w:t xml:space="preserve">To the extent practicable, the secretary of state shall adjust schedules under this subsection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provision of this code, an election for the office of precinct chair held in 2022 shall be held on the same date as the runoff primary election held in 2022 and the precinct chair shall be elected by plurality vote.  The secretary of state shall set the dates of the filing period for the election of the precinct chair and shall adjust the schedule for performing any official act relating to an election held under this subsection as necessary for the efficient and orderly administration of the election.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 </w:t>
      </w:r>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 passed the Senate on August</w:t>
      </w:r>
      <w:r xml:space="preserve">
        <w:t> </w:t>
      </w:r>
      <w:r>
        <w:t xml:space="preserve">9, 2021, by the following vote:  Yeas</w:t>
      </w:r>
      <w:r xml:space="preserve">
        <w:t> </w:t>
      </w:r>
      <w:r>
        <w:t xml:space="preserve">28, Nays</w:t>
      </w:r>
      <w:r xml:space="preserve">
        <w:t> </w:t>
      </w:r>
      <w:r>
        <w:t xml:space="preserve">1; and that the Senate concurred in House amendment on August</w:t>
      </w:r>
      <w:r xml:space="preserve">
        <w:t> </w:t>
      </w:r>
      <w:r>
        <w:t xml:space="preserve">29, 2021,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 passed the House, with amendment, on August</w:t>
      </w:r>
      <w:r xml:space="preserve">
        <w:t> </w:t>
      </w:r>
      <w:r>
        <w:t xml:space="preserve">27, 2021, by the following vote:  Yeas</w:t>
      </w:r>
      <w:r xml:space="preserve">
        <w:t> </w:t>
      </w:r>
      <w:r>
        <w:t xml:space="preserve">96, Nays</w:t>
      </w:r>
      <w:r xml:space="preserve">
        <w:t> </w:t>
      </w:r>
      <w:r>
        <w:t xml:space="preserve">25,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