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13</w:t>
      </w:r>
    </w:p>
    <w:p w:rsidR="003F3435" w:rsidRDefault="0032493E">
      <w:pPr>
        <w:ind w:firstLine="720"/>
        <w:jc w:val="both"/>
      </w:pPr>
      <w:r>
        <w:t xml:space="preserve">(Hunter)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w:t>
      </w:r>
      <w:r>
        <w:rPr>
          <w:u w:val="single"/>
        </w:rPr>
        <w:t xml:space="preserve"> </w:t>
      </w:r>
      <w:r>
        <w:rPr>
          <w:u w:val="single"/>
        </w:rPr>
        <w:t xml:space="preserve">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15,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15, 2021, and on or before December 28,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December 28, 2021, and on or before February 7,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latest dates provided for the filing period and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7, 2022, the secretary of state shall set the dates of the filing period and the general and runoff primary elections for the election of officers of the districts to which this section applies. </w:t>
      </w:r>
      <w:r>
        <w:rPr>
          <w:u w:val="single"/>
        </w:rPr>
        <w:t xml:space="preserve"> </w:t>
      </w:r>
      <w:r>
        <w:rPr>
          <w:u w:val="single"/>
        </w:rPr>
        <w:t xml:space="preserve">In setting dates under this subsection,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date set for the filing period or the general primary election under Subsection (c) or (d) shall be the date of any filing period provided under this code or of any general primary election held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