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virtual and off-campus electronic instruction at a public school, the satisfaction of teacher certification requirements through an internship teaching certain virtual courses, and the allotment for certain special-purpose school districts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allow a candidate to satisfy certification requirements through an internship that provides the candidate employment as a teacher for courses offered through a local remote learning program under Section 29.9091 or the state virtual school network under Chapter 30A.  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option for a student's parent or person standing in parental relation to select in-person instruction for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count a student for purposes of calculating the district's or school's average daily attendance if the student has 10 or more unexcused absences in the program in a six-month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 or person standing in parental relation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district or school may not directly or indirectly coerce any teacher to agree to an assignment to teach a full-time local remote learning program.</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 </w:t>
      </w:r>
      <w:r>
        <w:rPr>
          <w:u w:val="single"/>
        </w:rPr>
        <w:t xml:space="preserve"> </w:t>
      </w:r>
      <w:r>
        <w:rPr>
          <w:u w:val="single"/>
        </w:rPr>
        <w:t xml:space="preserve">The commissioner may waive the requirements of this subsection for courses included in the enrichment curriculum under Section 28.002.</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Except as otherwise provided under Subsection (e)(3), 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a number of students that exceeds 10 percent of the total number of students enrolled in the district or school during the 2021-2022 school year. </w:t>
      </w:r>
      <w:r>
        <w:rPr>
          <w:u w:val="single"/>
        </w:rPr>
        <w:t xml:space="preserve"> </w:t>
      </w:r>
      <w:r>
        <w:rPr>
          <w:u w:val="single"/>
        </w:rPr>
        <w:t xml:space="preserve">The commissioner may waive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application by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public health emergency.</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In calculating under Subsection (q) the number of students that may be enrolled in a local remote learning program, a school district or open-enrollment charter school shall count students who spend at least half of the student's instructional time during the 2021-2022 school year or 2022-2023 school year, as applicable, enrolled in virtual courses or receiving remote instruction, other than by enrollment in electronic courses offered through the state virtual school network under Chapter 30A, including students enrolled in virtual courses or who received remote instruction during the 2021-2022 school year or 2022-2023 school year, as applicable, because the student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fragile;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placed in a virtual setting by an admission, review, and dismissal committee;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receiving accommodations under Section 504, Rehabilitation Act of 1973 (29 U.S.C. Section 794).</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39, Education Code, is amended by adding Section 39.0549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39.0549.</w:t>
      </w:r>
      <w:r>
        <w:rPr>
          <w:u w:val="single"/>
        </w:rPr>
        <w:t xml:space="preserve"> </w:t>
      </w:r>
      <w:r>
        <w:rPr>
          <w:u w:val="single"/>
        </w:rPr>
        <w:t xml:space="preserve"> </w:t>
      </w:r>
      <w:r>
        <w:rPr>
          <w:u w:val="single"/>
        </w:rPr>
        <w:t xml:space="preserve">EVALUATING VIRTUAL AND LOCAL REMOTE PROGRAMS.  (a)  In evaluating under Section 39.054 the performance of a school district or open-enrollment charter school that operates a full-time local remote learning program, the commissioner shall assign the program separate overall and domain performance ratings as if the program were a campus of the district or school. For purposes of assigning performance ratings under this subsection, students who spend at least half of the students' instructional time receiving virtual or remote instruction are considered enrolled in the program, including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enrolled in virtual courses offered under a local remote learning program under Section 29.9091;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remote instruction, regardless of whether the student is enrolled in a remote learning program offered under Section 29.9091 and including students receiving remote instruction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medically fragile;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placed in a virtual setting by an admission, review, and dismissal committee;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accommodations under Section 504, Rehabilitation Act of 1973 (29 U.S.C. Section 794).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performance rating under this section is not subject to Section 39.054(a-3) or 39.0546.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performance rating assigned under this section may not be used for purposes of Section 39.0544 or for determining whether to impose any intervention or sanction authorized by Chapter 39A.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39.301,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virtual courses offered under a local remote learning program under Section 29.9091;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remote instruction, regardless of whether the student is enrolled in a remote learning program offered under Section 29.9091 and including students receiving remote instruction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medically fragile;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placed in a virtual setting by an admission, review, and dismissal committee;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accommodations under Section 504, Rehabilitation Act of 1973 (29 U.S.C. Section 794).</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and this subsection expire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48.005, Education Code, is amended by adding Subsections (h-1), (m-1), and (m-2)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Subject to rules adopted by the commissioner under Section 48.007(b), time that a student participates in a course or program provided under Section 48.0071(b) shall be counted as part of the minimum number of instructional hours required for a student to be considered a full-time student in average daily attendance for purposes of this section. This subsection expires September 1, 2023.</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Except for students enrolled in programs or courses offered under Chapter 30A or Section 48.053, a school district or open-enrollment charter school may not count for purposes of calculating the district's or school's average daily attendance a student who received virtual or remote instruction for a majority of the instructional days during the preceding school year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did not achieve satisfactory performance or higher or the equivalent in the preceding school year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assessment instrument administered to the student under Section 39.023 or 39.025;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was not administered an assessment instrument that was required to be administered to the student under Section 39.023 or 39.025 during the preceding school year, an assessment instrument designed to show grade-level proficiency in the essential knowledge and skills identified under Section 28.002 by the State Board of Education for the student's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a number of unexcused absences that exceeds 10 percent of the number of instructional days in the preceding school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earn a grade of C or higher or the equivalent in each of the foundation curriculum courses taken virtually or remotely in the preceding school year.</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48, Education Code, is amended by adding Section 48.0071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48.0071.</w:t>
      </w:r>
      <w:r>
        <w:rPr>
          <w:u w:val="single"/>
        </w:rPr>
        <w:t xml:space="preserve"> </w:t>
      </w:r>
      <w:r>
        <w:rPr>
          <w:u w:val="single"/>
        </w:rPr>
        <w:t xml:space="preserve"> </w:t>
      </w:r>
      <w:r>
        <w:rPr>
          <w:u w:val="single"/>
        </w:rPr>
        <w:t xml:space="preserve">OFF-CAMPUS COURSES OR PROGRAMS COUNTED FOR PURPOSES OF AVERAGE DAILY ATTENDANCE.  (a)</w:t>
      </w:r>
      <w:r>
        <w:rPr>
          <w:u w:val="single"/>
        </w:rPr>
        <w:t xml:space="preserve"> </w:t>
      </w:r>
      <w:r>
        <w:rPr>
          <w:u w:val="single"/>
        </w:rPr>
        <w:t xml:space="preserve"> </w:t>
      </w:r>
      <w:r>
        <w:rPr>
          <w:u w:val="single"/>
        </w:rPr>
        <w:t xml:space="preserve">The commissioner shall adopt by rule verification and reporting procedures to report student participation in courses or programs provided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In adopting rules under Subsection (a), the commissioner shall provide for a method of taking attendance, once each school day, for students enrolled in a course or program provided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operated during the 2020-2021 school year a full-time virtual program outside the state virtual network under Chapter 30A with at least 10 percent of the enrollment for the program including students who resided outside the geographic area served by the district or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operate the virtual program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same enrollment and transfer criteria used during the 2020-2021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the program to students in any grade level or combination of grade levels from kindergarten through grade 12 as long as the program includes at least one grade level for which an assessment instrument is administered under Section 39.023.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48.053, Education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w:t>
      </w:r>
      <w:r>
        <w:rPr>
          <w:u w:val="single"/>
        </w:rPr>
        <w:t xml:space="preserve"> </w:t>
      </w:r>
      <w:r>
        <w:rPr>
          <w:u w:val="single"/>
        </w:rPr>
        <w:t xml:space="preserve">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school district or open-enrollment charter school that operates a full-time local remote learning program during the 2021-2022 school year that meets the requirements of Section 29.9091, Education Code, as added by this Act, is entitled to funding in the manner prescribed by this Act regardless of whether the district or school began operating the program before,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 passed the Senate on August</w:t>
      </w:r>
      <w:r xml:space="preserve">
        <w:t> </w:t>
      </w:r>
      <w:r>
        <w:t xml:space="preserve">11,</w:t>
      </w:r>
      <w:r xml:space="preserve">
        <w:t> </w:t>
      </w:r>
      <w:r>
        <w:t xml:space="preserve">2021, by the following vote:  Yeas</w:t>
      </w:r>
      <w:r xml:space="preserve">
        <w:t> </w:t>
      </w:r>
      <w:r>
        <w:t xml:space="preserve">27, Nays</w:t>
      </w:r>
      <w:r xml:space="preserve">
        <w:t> </w:t>
      </w:r>
      <w:r>
        <w:t xml:space="preserve">2; and that the Senate concurred in House amendments on August 31, 2021, by the following vote:  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 passed the House, with amendments, on August 30, 2021, by the following vote:  Yeas</w:t>
      </w:r>
      <w:r xml:space="preserve">
        <w:t> </w:t>
      </w:r>
      <w:r>
        <w:t xml:space="preserve">119, Nays</w:t>
      </w:r>
      <w:r xml:space="preserve">
        <w:t> </w:t>
      </w:r>
      <w:r>
        <w:t xml:space="preserve">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