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87S20139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Paxton</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certain vaccination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161.0085, Health and Safety Code, as added by S.B. No.</w:t>
      </w:r>
      <w:r xml:space="preserve">
        <w:t> </w:t>
      </w:r>
      <w:r>
        <w:t xml:space="preserve">968, Acts of the 87th Legislature, Regular Session, 2021, is amended by adding Subsection (b-1)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governmental entity in this state may not require an individual to provide any documentation certifying the individual's COVID-19 vaccination or post-transmission recovery on entry to, to gain access to, or to receive service from the governmental entity.</w:t>
      </w:r>
    </w:p>
    <w:p w:rsidR="003F3435" w:rsidRDefault="0032493E">
      <w:pPr>
        <w:spacing w:line="480" w:lineRule="auto"/>
        <w:ind w:firstLine="720"/>
        <w:jc w:val="both"/>
      </w:pPr>
      <w:r>
        <w:t xml:space="preserve">(e)</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restrict a business </w:t>
      </w:r>
      <w:r>
        <w:rPr>
          <w:u w:val="single"/>
        </w:rPr>
        <w:t xml:space="preserve">or governmental entity</w:t>
      </w:r>
      <w:r>
        <w:t xml:space="preserve"> from implementing COVID-19 screening and infection control protocols in accordance with state and federal law to protect public health; or</w:t>
      </w:r>
    </w:p>
    <w:p w:rsidR="003F3435" w:rsidRDefault="0032493E">
      <w:pPr>
        <w:spacing w:line="480" w:lineRule="auto"/>
        <w:ind w:firstLine="1440"/>
        <w:jc w:val="both"/>
      </w:pPr>
      <w:r>
        <w:t xml:space="preserve">(2)</w:t>
      </w:r>
      <w:r xml:space="preserve">
        <w:t> </w:t>
      </w:r>
      <w:r xml:space="preserve">
        <w:t> </w:t>
      </w:r>
      <w: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policy </w:t>
      </w:r>
      <w:r>
        <w:rPr>
          <w:u w:val="single"/>
        </w:rPr>
        <w:t xml:space="preserve">must</w:t>
      </w:r>
      <w:r>
        <w:t xml:space="preserve"> [</w:t>
      </w:r>
      <w:r>
        <w:rPr>
          <w:strike/>
        </w:rPr>
        <w:t xml:space="preserve">may</w:t>
      </w:r>
      <w:r>
        <w:t xml:space="preserve">] include procedures for a covered individual to be exempt from the required vaccines based on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IMMUNIZATION OR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PROHIBITED DISCRIMINATION BASED ON IMMUNIZATION OR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an immunization or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an immunization or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an immunization or vaccine.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