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tabulation and reporting of votes, including certain technological requirements for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52.061,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must contain a watermark.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VERIFICATION OF VOTE TOTALS.  (a) After precinct returns have been prepared under Section 65.014, each county shall print and compare the returns to ensure the number of votes cast in each precinct in the county matches the total number of votes cast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comparison in Subsection (a) is completed, the secretary of state shall print and compare the returns to ensure the number of votes cast in each county matches the total number of votes cast in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comparison in Subsection (a) results in a disparity between the vote counts, an automatic recount under Chapter 216 must be conducted in the precinct for the election in which the disparity is identified. The recount shall be a manual recount by hand of paper records in accordance with Subchapter A, Chapter 214.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comparison in Subsection (b) results in a disparity between the vote counts, an automatic recount under Chapter 216 must be conducted in the county for the election in which the disparity is identified. The recount shall be a manual recount by hand of paper records in accordance with Subchapter A, Chapter 214.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279, Election Code, is amended by adding Section 279.004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279.004.</w:t>
      </w:r>
      <w:r>
        <w:rPr>
          <w:u w:val="single"/>
        </w:rPr>
        <w:t xml:space="preserve"> </w:t>
      </w:r>
      <w:r>
        <w:rPr>
          <w:u w:val="single"/>
        </w:rPr>
        <w:t xml:space="preserve"> </w:t>
      </w:r>
      <w:r>
        <w:rPr>
          <w:u w:val="single"/>
        </w:rPr>
        <w:t xml:space="preserve">TRANSMISSION BETWEEN SECRETARY OF STATE AND COUNTY ELECTION OFFICERS.  (a)  In this section, "asymmetric cryptography" means a system of cryptography that employs a pair of keys, one known to county election officers, the other only known to the secretary of state, to encrypt and decrypt the transmission of election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transmission of election data that occurs between the secretary of state and a county election officer must be done on a device that is not capable of being connected to the Internet or another computer network or electronic device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secure virtual private network;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landline link that employs asymmetric cryptography.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