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this state and pose a disproportionately large risk to:</w:t>
      </w:r>
    </w:p>
    <w:p w:rsidR="003F3435" w:rsidRDefault="0032493E">
      <w:pPr>
        <w:spacing w:line="480" w:lineRule="auto"/>
        <w:ind w:firstLine="2160"/>
        <w:jc w:val="both"/>
      </w:pPr>
      <w:r>
        <w:t xml:space="preserve">(A)</w:t>
      </w:r>
      <w:r xml:space="preserve">
        <w:t> </w:t>
      </w:r>
      <w:r xml:space="preserve">
        <w:t> </w:t>
      </w:r>
      <w:r>
        <w:t xml:space="preserve">the elderly, vulnerable, and underprivileged within this state; and</w:t>
      </w:r>
    </w:p>
    <w:p w:rsidR="003F3435" w:rsidRDefault="0032493E">
      <w:pPr>
        <w:spacing w:line="480" w:lineRule="auto"/>
        <w:ind w:firstLine="2160"/>
        <w:jc w:val="both"/>
      </w:pPr>
      <w:r>
        <w:t xml:space="preserve">(B)</w:t>
      </w:r>
      <w:r xml:space="preserve">
        <w:t> </w:t>
      </w:r>
      <w:r xml:space="preserve">
        <w:t> </w:t>
      </w:r>
      <w:r>
        <w:t xml:space="preserve">communities facing environmental justice issues such as disproportionate environmental health burdens and population vulnerabilities relating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the 16 critical infrastructures identified in President Barack Obama's Presidential Policy Directive "Critical Infrastructure Security and Resilience" (PPD-21) including water and wastewater systems, food and agriculture, communications systems, the energy sector including refineries and fuel distribution systems, chemical plants, the financial sector, hospitals and health care facilities, law enforcement and government facilities, nuclear reactors, and other critical functions depend on the electric grid in this state and make the grid's protection vital to the economy of this nation and homeland security;</w:t>
      </w:r>
    </w:p>
    <w:p w:rsidR="003F3435" w:rsidRDefault="0032493E">
      <w:pPr>
        <w:spacing w:line="480" w:lineRule="auto"/>
        <w:ind w:firstLine="1440"/>
        <w:jc w:val="both"/>
      </w:pPr>
      <w:r>
        <w:t xml:space="preserve">(3)</w:t>
      </w:r>
      <w:r xml:space="preserve">
        <w:t> </w:t>
      </w:r>
      <w:r xml:space="preserve">
        <w:t> </w:t>
      </w:r>
      <w:r>
        <w:t xml:space="preserve">the blackout that occurred in this state in February 2021 caused:</w:t>
      </w:r>
    </w:p>
    <w:p w:rsidR="003F3435" w:rsidRDefault="0032493E">
      <w:pPr>
        <w:spacing w:line="480" w:lineRule="auto"/>
        <w:ind w:firstLine="2160"/>
        <w:jc w:val="both"/>
      </w:pPr>
      <w:r>
        <w:t xml:space="preserve">(A)</w:t>
      </w:r>
      <w:r xml:space="preserve">
        <w:t> </w:t>
      </w:r>
      <w:r xml:space="preserve">
        <w:t> </w:t>
      </w:r>
      <w:r>
        <w:t xml:space="preserve">death and suffering in this state;</w:t>
      </w:r>
    </w:p>
    <w:p w:rsidR="003F3435" w:rsidRDefault="0032493E">
      <w:pPr>
        <w:spacing w:line="480" w:lineRule="auto"/>
        <w:ind w:firstLine="2160"/>
        <w:jc w:val="both"/>
      </w:pPr>
      <w:r>
        <w:t xml:space="preserve">(B)</w:t>
      </w:r>
      <w:r xml:space="preserve">
        <w:t> </w:t>
      </w:r>
      <w:r xml:space="preserve">
        <w:t> </w:t>
      </w:r>
      <w:r>
        <w:t xml:space="preserve">economic loss to this state's economy;</w:t>
      </w:r>
    </w:p>
    <w:p w:rsidR="003F3435" w:rsidRDefault="0032493E">
      <w:pPr>
        <w:spacing w:line="480" w:lineRule="auto"/>
        <w:ind w:firstLine="2160"/>
        <w:jc w:val="both"/>
      </w:pPr>
      <w:r>
        <w:t xml:space="preserve">(C)</w:t>
      </w:r>
      <w:r xml:space="preserve">
        <w:t> </w:t>
      </w:r>
      <w:r xml:space="preserve">
        <w:t> </w:t>
      </w:r>
      <w:r>
        <w:t xml:space="preserve">impacts to all critical infrastructures in this state;</w:t>
      </w:r>
    </w:p>
    <w:p w:rsidR="003F3435" w:rsidRDefault="0032493E">
      <w:pPr>
        <w:spacing w:line="480" w:lineRule="auto"/>
        <w:ind w:firstLine="2160"/>
        <w:jc w:val="both"/>
      </w:pPr>
      <w:r>
        <w:t xml:space="preserve">(D)</w:t>
      </w:r>
      <w:r xml:space="preserve">
        <w:t> </w:t>
      </w:r>
      <w:r xml:space="preserve">
        <w:t> </w:t>
      </w:r>
      <w:r>
        <w:t xml:space="preserve">the dispatch of generation units that likely exceeded limits established by the Environmental Protection Agency for sulfur dioxide, nitrogen oxide, mercury, and carbon monoxide emissions and wastewater release limits;</w:t>
      </w:r>
    </w:p>
    <w:p w:rsidR="003F3435" w:rsidRDefault="0032493E">
      <w:pPr>
        <w:spacing w:line="480" w:lineRule="auto"/>
        <w:ind w:firstLine="2160"/>
        <w:jc w:val="both"/>
      </w:pPr>
      <w:r>
        <w:t xml:space="preserve">(E)</w:t>
      </w:r>
      <w:r xml:space="preserve">
        <w:t> </w:t>
      </w:r>
      <w:r xml:space="preserve">
        <w:t> </w:t>
      </w:r>
      <w:r>
        <w:t xml:space="preserve">radically increased pricing of electricity that resulted in making electric power bills unaffordable to many customers across this state; and</w:t>
      </w:r>
    </w:p>
    <w:p w:rsidR="003F3435" w:rsidRDefault="0032493E">
      <w:pPr>
        <w:spacing w:line="480" w:lineRule="auto"/>
        <w:ind w:firstLine="2160"/>
        <w:jc w:val="both"/>
      </w:pPr>
      <w:r>
        <w:t xml:space="preserve">(F)</w:t>
      </w:r>
      <w:r xml:space="preserve">
        <w:t> </w:t>
      </w:r>
      <w:r xml:space="preserve">
        <w:t> </w:t>
      </w:r>
      <w:r>
        <w:t xml:space="preserve">the exacerbation of the COVID-19 pandemic risk by forcing many of the state's citizens to consolidate at warming centers and in other small spaces where warmth for survival superseded social distancing protocols;</w:t>
      </w:r>
    </w:p>
    <w:p w:rsidR="003F3435" w:rsidRDefault="0032493E">
      <w:pPr>
        <w:spacing w:line="480" w:lineRule="auto"/>
        <w:ind w:firstLine="1440"/>
        <w:jc w:val="both"/>
      </w:pPr>
      <w:r>
        <w:t xml:space="preserve">(4)</w:t>
      </w:r>
      <w:r xml:space="preserve">
        <w:t> </w:t>
      </w:r>
      <w:r xml:space="preserve">
        <w:t> </w:t>
      </w:r>
      <w:r>
        <w:t xml:space="preserve">a previous large-scale blackout occurred in this state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this state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w:t>
      </w:r>
    </w:p>
    <w:p w:rsidR="003F3435" w:rsidRDefault="0032493E">
      <w:pPr>
        <w:spacing w:line="480" w:lineRule="auto"/>
        <w:ind w:firstLine="2160"/>
        <w:jc w:val="both"/>
      </w:pPr>
      <w:r>
        <w:t xml:space="preserve">(A)</w:t>
      </w:r>
      <w:r xml:space="preserve">
        <w:t> </w:t>
      </w:r>
      <w:r xml:space="preserve">
        <w:t> </w:t>
      </w:r>
      <w:r>
        <w:t xml:space="preserve">whether too much risk has been accepted regarding weatherization of electric generation infrastructure;</w:t>
      </w:r>
    </w:p>
    <w:p w:rsidR="003F3435" w:rsidRDefault="0032493E">
      <w:pPr>
        <w:spacing w:line="480" w:lineRule="auto"/>
        <w:ind w:firstLine="2160"/>
        <w:jc w:val="both"/>
      </w:pPr>
      <w:r>
        <w:t xml:space="preserve">(B)</w:t>
      </w:r>
      <w:r xml:space="preserve">
        <w:t> </w:t>
      </w:r>
      <w:r xml:space="preserve">
        <w:t> </w:t>
      </w:r>
      <w:r>
        <w:t xml:space="preserve">whether this state lacks the internal distribution structure and control systems to manage rolling blackouts; and</w:t>
      </w:r>
    </w:p>
    <w:p w:rsidR="003F3435" w:rsidRDefault="0032493E">
      <w:pPr>
        <w:spacing w:line="480" w:lineRule="auto"/>
        <w:ind w:firstLine="2160"/>
        <w:jc w:val="both"/>
      </w:pPr>
      <w:r>
        <w:t xml:space="preserve">(C)</w:t>
      </w:r>
      <w:r xml:space="preserve">
        <w:t> </w:t>
      </w:r>
      <w:r xml:space="preserve">
        <w:t> </w:t>
      </w:r>
      <w:r>
        <w:t xml:space="preserve">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the governor has declared reform of the independent organization certified under Section 39.151, Utilities Code, for the ERCOT power region as an emergency item for the 87th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electric grid in this state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electric grid that offers businesses in this state continuity of operations in the event of a natural or man-made disaster will be an unrivaled attraction for businesses to expand or move their operations to this state and will protect what is important to this state, including its military installations and its environment;</w:t>
      </w:r>
    </w:p>
    <w:p w:rsidR="003F3435" w:rsidRDefault="0032493E">
      <w:pPr>
        <w:spacing w:line="480" w:lineRule="auto"/>
        <w:ind w:firstLine="1440"/>
        <w:jc w:val="both"/>
      </w:pPr>
      <w:r>
        <w:t xml:space="preserve">(10)</w:t>
      </w:r>
      <w:r xml:space="preserve">
        <w:t> </w:t>
      </w:r>
      <w:r xml:space="preserve">
        <w:t> </w:t>
      </w:r>
      <w:r>
        <w:t xml:space="preserve">current market incentives and regulations are not sufficient for electric utilities to:</w:t>
      </w:r>
    </w:p>
    <w:p w:rsidR="003F3435" w:rsidRDefault="0032493E">
      <w:pPr>
        <w:spacing w:line="480" w:lineRule="auto"/>
        <w:ind w:firstLine="2160"/>
        <w:jc w:val="both"/>
      </w:pPr>
      <w:r>
        <w:t xml:space="preserve">(A)</w:t>
      </w:r>
      <w:r xml:space="preserve">
        <w:t> </w:t>
      </w:r>
      <w:r xml:space="preserve">
        <w:t> </w:t>
      </w:r>
      <w:r>
        <w:t xml:space="preserve">prioritize grid security and resilience; and</w:t>
      </w:r>
    </w:p>
    <w:p w:rsidR="003F3435" w:rsidRDefault="0032493E">
      <w:pPr>
        <w:spacing w:line="480" w:lineRule="auto"/>
        <w:ind w:firstLine="2160"/>
        <w:jc w:val="both"/>
      </w:pPr>
      <w:r>
        <w:t xml:space="preserve">(B)</w:t>
      </w:r>
      <w:r xml:space="preserve">
        <w:t> </w:t>
      </w:r>
      <w:r xml:space="preserve">
        <w:t> </w:t>
      </w:r>
      <w:r>
        <w:t xml:space="preserve">protect the grid against hazards;</w:t>
      </w:r>
    </w:p>
    <w:p w:rsidR="003F3435" w:rsidRDefault="0032493E">
      <w:pPr>
        <w:spacing w:line="480" w:lineRule="auto"/>
        <w:ind w:firstLine="1440"/>
        <w:jc w:val="both"/>
      </w:pPr>
      <w:r>
        <w:t xml:space="preserve">(11)</w:t>
      </w:r>
      <w:r xml:space="preserve">
        <w:t> </w:t>
      </w:r>
      <w:r xml:space="preserve">
        <w:t> </w:t>
      </w:r>
      <w:r>
        <w:t xml:space="preserve">protection of the electric grid in this state against hazards would assure businesses and the citizens of this state that the "lights will be back on first in Texas" in the event of a nationwide catastrophe affecting electric infrastructure, sparing catastrophic societal and environmental consequences for this state; and</w:t>
      </w:r>
    </w:p>
    <w:p w:rsidR="003F3435" w:rsidRDefault="0032493E">
      <w:pPr>
        <w:spacing w:line="480" w:lineRule="auto"/>
        <w:ind w:firstLine="1440"/>
        <w:jc w:val="both"/>
      </w:pPr>
      <w:r>
        <w:t xml:space="preserve">(12)</w:t>
      </w:r>
      <w:r xml:space="preserve">
        <w:t> </w:t>
      </w:r>
      <w:r xml:space="preserve">
        <w:t> </w:t>
      </w:r>
      <w:r>
        <w:t xml:space="preserve">when this state begins implementation of the plan for all hazards resilience described by Section 44.007, Utilities Code, as added by this Act, to protect the electric grid in this state,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advise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shall evaluate, using available information on past blackouts in ERCOT, all hazards to the ERCOT electric grid, including threats which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STANDARDS.  Based on the findings of the evaluations and investigations conducted under Section 44.004, the security commission shall develop resilience standards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CONTRACTOR SUPPORT FOR CRITICAL SYSTEM AND COMPONENT RESILIENCE.  (a) The State Office of Risk Management, with assistance from the security commission, shall select contractors with proven expertise to identify critical systems and components of the ERCOT electric grid vulnerable to hazards described by Section 44.004(a) with a specific emphasis on the most dangerous cyber and electromagnetic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selected under Subsection (a) must identify the critical components, including industrial control systems, not later than six months after the date the contractor is engaged.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2023, an entity that owns or operates a component identified by a contractor under Subsection (a) as critical shall upgrade the component as necessary for the component to meet the applicable standards set by the security commission under Section 44.005.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Office of Risk Management shall select  contractors with demonstrated expertise to verify whether an entity with a component identified as critical under Subsection (a) has upgraded components as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requirements that may be implemented not later than January 1, 2023, to prevent blackouts from extreme cold weather events, an analysis of whether these requirements would induce cyber vulnerabilities, and an analysis of the associated costs for these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may be implemented not later than January 1, 2023, for installing, replacing, or upgrading industrial control systems and associated networks, or the use of compensating controls or procedures, in critical facilities to address cyber vulnerabilities;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that may be implemented not later than January 1, 2026, for installing, replacing, or upgrading extra high-voltage power transformers and supervisory control and data acquisition systems to withstand 100 kilovolts/meter E1 electromagnetic pulses and 85 volts/kilometer E3 electromagnetic pulses;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making improvements to remaining infrastructure to meet standards set by the security commission under Section 44.005;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GRID RESILIENCE REPORT.  (a) Not later than January 1 of each year, the security commission shall prepare and deliver a nonclassified report to the legislature, the governor, and the commission assessing natural and man-made threats to the electric grid and efforts to mitigate the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make the report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ALTERNATIVE TIMELINE OR STANDARD.  A panel composed of members of the security commission may approve a resilience standard or implementation timeline for an electric utility or other entity that differs from a resilience standard or implementation timeline adopted under Section 44.006.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44.010.</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44.011.</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380, Local Government Code, is amended by adding Section 380.005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380.005.</w:t>
      </w:r>
      <w:r>
        <w:rPr>
          <w:u w:val="single"/>
        </w:rPr>
        <w:t xml:space="preserve"> </w:t>
      </w:r>
      <w:r>
        <w:rPr>
          <w:u w:val="single"/>
        </w:rPr>
        <w:t xml:space="preserve"> </w:t>
      </w:r>
      <w:r>
        <w:rPr>
          <w:u w:val="single"/>
        </w:rPr>
        <w:t xml:space="preserve">FIVE STAR GOLD RESILIENT COMMUNITIES.  (a)  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and implemented under Sections 44.005 and 44.006,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