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28.0025.</w:t>
      </w:r>
      <w:r>
        <w:rPr>
          <w:u w:val="single"/>
        </w:rPr>
        <w:t xml:space="preserve"> </w:t>
      </w:r>
      <w:r>
        <w:rPr>
          <w:u w:val="single"/>
        </w:rPr>
        <w:t xml:space="preserve"> </w:t>
      </w:r>
      <w:r>
        <w:rPr>
          <w:u w:val="single"/>
        </w:rPr>
        <w:t xml:space="preserve">CERTAIN INSTRUCTION PROHIBITED.  A school district or open-enrollment charter school may not offer a course, component of a course, unit of study, or other instruction that directs or otherwise compels a student to personally affirm, adopt, or adhere to the idea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race, sex, ethnicity, religion, color, or national origin is inherently superior or inferior to another race, sex, ethnicity, religion, color, or national origin;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sex, ethnicity, religion, color, or national origin;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individual, by virtue of the individual's race, sex, ethnicity, religion, color, or national origin, is inherently responsible for actions committed in the past by other members of the same race, sex, ethnicity, religion, color, or national origin.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