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87.027, the signature verification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second business day after discovering a defect described by Subsection (a) and before deciding whether to accept or reject a timely delivered ballot under Section 87.041, 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request to have the voter's application to vote by mail canceled in the manner described by Section 84.032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ballot may not be finally rejected for a reason listed in Section 87.041(b)(1), (2), or (6) before the seventh day after election 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