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43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state aid to certain counties for increased costs incurred when officers employed by the Department of Public Safety are reassigned to another area of the state to secure the border.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130, Local Government Code, is amended by adding Section 130.911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130.911.</w:t>
      </w:r>
      <w:r>
        <w:rPr>
          <w:u w:val="single"/>
        </w:rPr>
        <w:t xml:space="preserve"> </w:t>
      </w:r>
      <w:r>
        <w:rPr>
          <w:u w:val="single"/>
        </w:rPr>
        <w:t xml:space="preserve"> </w:t>
      </w:r>
      <w:r>
        <w:rPr>
          <w:u w:val="single"/>
        </w:rPr>
        <w:t xml:space="preserve">STATE AID TO CERTAIN COUNTIES ADVERSELY AFFECTED BY REASSIGNMENT OF CERTAIN LAW ENFORCEMENT OFFICERS FOR BORDER SECURITY.  (a)  This section applies only to a county that has a population of 100,000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that during the county's fiscal year incurs increased costs associated with operating the county sheriff's office because officers employed by the Department of Public Safety who were assigned to perform law enforcement duties in the county were reassigned to locations outside the county to secure the international border of this state with the United Mexican States is entitled to an assistance payment from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assistance payment to which a county is entitled is equal to the lesser of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equal to the increased costs described by Subsection (b) during the county fiscal year for which the payment is requested;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equal to the product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hours that officers employed by the Department of Public Safety would have spent performing law enforcement duties in the county during the county fiscal year for which the payment is requested if those officers had not been reassigned to locations outside the county for the purpose described by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hourly wage of a patrol officer employed by the Department of Public Safety during the county fiscal year for which the payment is requested.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must submit an application to the comptroller not later than the 30th day after the last day of the county fiscal year for which the assistance payment is requested to receive a payment under this section.  The application must be made on a form prescribed by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review each application to determine whether a county is entitled to an assistance payment under this section.  If the comptroller determines that the county is entitled to the payment, the comptroller shall remit the payment from available funds to the county not later than the 30th day after the date the application for the payment is made. A county is entitled to only one assistance payment under this section for each county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of Public Safety shall provide to the commissioners court of a county or the comptroller any information requested by the commissioners court or the comptroller, including information described by Subsection (c)(2)(B).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adopt rules necessary to implement and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130.911, Local Government Code, as added by this Act, applies only to a county fiscal year that begins on or after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2022, the comptroller of public accounts shall adopt rules as required by Section 130.911(g),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