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forms in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Education Agency regarding the number of registration application forms to provide to each high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each high school registration application forms once each fall and spring semester in the number determined from the consultation under Subdivision (1);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