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87S20114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an indication of the ground of eligibility for early voting;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for an application for a ballot to be voted by mail </w:t>
      </w:r>
      <w:r>
        <w:rPr>
          <w:u w:val="single"/>
        </w:rPr>
        <w:t xml:space="preserve">by an applicant who is civilly committed as a sexually violent predator under Chapter 841, Health and Safety Code, and is ordered as a condition of civil commitment to reside in a facility operated by or under contract with the Texas Civil Commitment Office</w:t>
      </w:r>
      <w:r>
        <w:t xml:space="preserve"> [</w:t>
      </w:r>
      <w:r>
        <w:rPr>
          <w:strike/>
        </w:rPr>
        <w:t xml:space="preserve">on the ground of involuntary civil commitment</w:t>
      </w:r>
      <w:r>
        <w:t xml:space="preserve">],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who is confined</w:t>
      </w:r>
      <w:r>
        <w:t xml:space="preserve"> [</w:t>
      </w:r>
      <w:r>
        <w:rPr>
          <w:strike/>
        </w:rPr>
        <w:t xml:space="preserve">applying on the ground of confinement</w:t>
      </w:r>
      <w:r>
        <w:t xml:space="preserve">] in jail </w:t>
      </w:r>
      <w:r>
        <w:rPr>
          <w:u w:val="single"/>
        </w:rPr>
        <w:t xml:space="preserve">as described by Section 84.009(a)</w:t>
      </w:r>
      <w:r>
        <w:t xml:space="preserve"> or </w:t>
      </w:r>
      <w:r>
        <w:rPr>
          <w:u w:val="single"/>
        </w:rPr>
        <w:t xml:space="preserve">who 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to indicate that the address to which the ballot is to be mailed is the address of a relative described by Section 84.002(a)(4) or </w:t>
      </w:r>
      <w:r>
        <w:rPr>
          <w:u w:val="single"/>
        </w:rPr>
        <w:t xml:space="preserve">(6)</w:t>
      </w:r>
      <w:r>
        <w:t xml:space="preserve"> [</w:t>
      </w:r>
      <w:r>
        <w:rPr>
          <w:strike/>
        </w:rPr>
        <w:t xml:space="preserve">(7)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 or</w:t>
      </w:r>
    </w:p>
    <w:p w:rsidR="003F3435" w:rsidRDefault="0032493E">
      <w:pPr>
        <w:spacing w:line="480" w:lineRule="auto"/>
        <w:ind w:firstLine="1440"/>
        <w:jc w:val="both"/>
      </w:pPr>
      <w:r>
        <w:t xml:space="preserve">(4)</w:t>
      </w:r>
      <w:r xml:space="preserve">
        <w:t> </w:t>
      </w:r>
      <w:r xml:space="preserve">
        <w:t> </w:t>
      </w:r>
      <w:r>
        <w:rPr>
          <w:u w:val="single"/>
        </w:rPr>
        <w:t xml:space="preserve">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in which case the address must be the address of the facility or of a relative described by Section </w:t>
      </w:r>
      <w:r>
        <w:rPr>
          <w:u w:val="single"/>
        </w:rPr>
        <w:t xml:space="preserve">84.002(a)(6)</w:t>
      </w:r>
      <w:r>
        <w:t xml:space="preserve"> [</w:t>
      </w:r>
      <w:r>
        <w:rPr>
          <w:strike/>
        </w:rPr>
        <w:t xml:space="preserve">84.002(a)(7)</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82.001;</w:t>
      </w:r>
    </w:p>
    <w:p w:rsidR="003F3435" w:rsidRDefault="0032493E">
      <w:pPr>
        <w:spacing w:line="480" w:lineRule="auto"/>
        <w:ind w:firstLine="1440"/>
        <w:jc w:val="both"/>
      </w:pPr>
      <w:r>
        <w:t xml:space="preserve">(2)</w:t>
      </w:r>
      <w:r xml:space="preserve">
        <w:t> </w:t>
      </w:r>
      <w:r xml:space="preserve">
        <w:t> </w:t>
      </w:r>
      <w:r>
        <w:t xml:space="preserve">Section 82.002;</w:t>
      </w:r>
    </w:p>
    <w:p w:rsidR="003F3435" w:rsidRDefault="0032493E">
      <w:pPr>
        <w:spacing w:line="480" w:lineRule="auto"/>
        <w:ind w:firstLine="1440"/>
        <w:jc w:val="both"/>
      </w:pPr>
      <w:r>
        <w:t xml:space="preserve">(3)</w:t>
      </w:r>
      <w:r xml:space="preserve">
        <w:t> </w:t>
      </w:r>
      <w:r xml:space="preserve">
        <w:t> </w:t>
      </w:r>
      <w:r>
        <w:t xml:space="preserve">Section 82.003;</w:t>
      </w:r>
    </w:p>
    <w:p w:rsidR="003F3435" w:rsidRDefault="0032493E">
      <w:pPr>
        <w:spacing w:line="480" w:lineRule="auto"/>
        <w:ind w:firstLine="1440"/>
        <w:jc w:val="both"/>
      </w:pPr>
      <w:r>
        <w:t xml:space="preserve">(4)</w:t>
      </w:r>
      <w:r xml:space="preserve">
        <w:t> </w:t>
      </w:r>
      <w:r xml:space="preserve">
        <w:t> </w:t>
      </w:r>
      <w:r>
        <w:t xml:space="preserve">Section 82.004;</w:t>
      </w:r>
    </w:p>
    <w:p w:rsidR="003F3435" w:rsidRDefault="0032493E">
      <w:pPr>
        <w:spacing w:line="480" w:lineRule="auto"/>
        <w:ind w:firstLine="1440"/>
        <w:jc w:val="both"/>
      </w:pPr>
      <w:r>
        <w:t xml:space="preserve">(5)</w:t>
      </w:r>
      <w:r xml:space="preserve">
        <w:t> </w:t>
      </w:r>
      <w:r xml:space="preserve">
        <w:t> </w:t>
      </w:r>
      <w:r>
        <w:t xml:space="preserve">Section 82.008, as effective September 1, 2021;</w:t>
      </w:r>
    </w:p>
    <w:p w:rsidR="003F3435" w:rsidRDefault="0032493E">
      <w:pPr>
        <w:spacing w:line="480" w:lineRule="auto"/>
        <w:ind w:firstLine="1440"/>
        <w:jc w:val="both"/>
      </w:pPr>
      <w:r>
        <w:t xml:space="preserve">(6)</w:t>
      </w:r>
      <w:r xml:space="preserve">
        <w:t> </w:t>
      </w:r>
      <w:r xml:space="preserve">
        <w:t> </w:t>
      </w:r>
      <w:r>
        <w:t xml:space="preserve">Section 84.002(b);</w:t>
      </w:r>
    </w:p>
    <w:p w:rsidR="003F3435" w:rsidRDefault="0032493E">
      <w:pPr>
        <w:spacing w:line="480" w:lineRule="auto"/>
        <w:ind w:firstLine="1440"/>
        <w:jc w:val="both"/>
      </w:pPr>
      <w:r>
        <w:t xml:space="preserve">(7)</w:t>
      </w:r>
      <w:r xml:space="preserve">
        <w:t> </w:t>
      </w:r>
      <w:r xml:space="preserve">
        <w:t> </w:t>
      </w:r>
      <w:r>
        <w:t xml:space="preserve">Section 84.002(c), as effective September 1, 2021; and</w:t>
      </w:r>
    </w:p>
    <w:p w:rsidR="003F3435" w:rsidRDefault="0032493E">
      <w:pPr>
        <w:spacing w:line="480" w:lineRule="auto"/>
        <w:ind w:firstLine="1440"/>
        <w:jc w:val="both"/>
      </w:pPr>
      <w:r>
        <w:t xml:space="preserve">(8)</w:t>
      </w:r>
      <w:r xml:space="preserve">
        <w:t> </w:t>
      </w:r>
      <w:r xml:space="preserve">
        <w:t> </w:t>
      </w:r>
      <w:r>
        <w:t xml:space="preserve">Section 112.002(b).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