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87S20129 KJE-D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Seliger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abolition of the Texas Bullion Depository.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11.141(a)(1), Tax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"Precious metal" </w:t>
      </w:r>
      <w:r>
        <w:rPr>
          <w:u w:val="single"/>
        </w:rPr>
        <w:t xml:space="preserve">means a metal, including gold, silver, platinum, palladium, and rhodium,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bears a high value-to-weight ratio relative to common industrial metals;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customarily is formed into bullion or specie</w:t>
      </w:r>
      <w:r>
        <w:t xml:space="preserve"> [</w:t>
      </w:r>
      <w:r>
        <w:rPr>
          <w:strike/>
        </w:rPr>
        <w:t xml:space="preserve">has the meaning assigned by Section 2116.001, Government Code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following provisions of the Government Code are repealed: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Section 1232.1026, as added by S.B. No. 2230, Acts of the 87th Legislature, Regular Session, 2021;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Chapter 2116.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On January 1, 2022: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Texas Bullion Depository is abolished;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all obligations, rights, contracts, records, real and personal property, funds, appropriations, and money of the Texas Bullion Depository are transferred to the comptroller of public accounts;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administrator of the Texas Bullion Depository becomes an employee of the comptroller of public accounts;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 employee of the Texas Bullion Depository becomes an employee of the comptroller of public accounts;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reference in other law to the Texas Bullion Depository means the comptroller of public accounts.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