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interference with electronic mail messages.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Chapter 321, Business &amp; Commerce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CHAPTER 321. REGULATION OF [</w:t>
      </w:r>
      <w:r>
        <w:rPr>
          <w:strike/>
        </w:rPr>
        <w:t xml:space="preserve">CERTAIN</w:t>
      </w:r>
      <w:r>
        <w:t xml:space="preserve">] ELECTRONIC MAIL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321, Business &amp; Commerce Code, is amended by adding Section 321.054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321.054.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IMPEDING ELECTRONIC MAIL MESSAGES PROHIBITED.  An electronic mail service provider may not intentionally impede the transmission of another person's electronic mail message based on content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provider is authorized to block the transmission under Section 321.114;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message contains a computer virus, as defined by Section 33.01, Penal Code, obscene material, material depicting sexual conduct, or material that violates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321.105(a),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lieu of actual damages, a person injured by a violation of this chapter arising from the transmission of an unsolicited or commercial electronic mail message </w:t>
      </w:r>
      <w:r>
        <w:rPr>
          <w:u w:val="single"/>
        </w:rPr>
        <w:t xml:space="preserve">or by a violation of Section 321.054</w:t>
      </w:r>
      <w:r>
        <w:t xml:space="preserve"> may recover an amount equal to the lesser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$10 for each unlawful message </w:t>
      </w:r>
      <w:r>
        <w:rPr>
          <w:u w:val="single"/>
        </w:rPr>
        <w:t xml:space="preserve">or each message unlawfully impeded, as applicable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$25,000 for each day the unlawful message is received </w:t>
      </w:r>
      <w:r>
        <w:rPr>
          <w:u w:val="single"/>
        </w:rPr>
        <w:t xml:space="preserve">or the message is unlawfully impeded, as applicable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