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87S20873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Blanco, Menéndez</w:t>
      </w:r>
      <w:r xml:space="preserve">
        <w:tab wTab="150" tlc="none" cTlc="0"/>
      </w:r>
      <w:r>
        <w:t xml:space="preserve">S.B.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facility reporting of COVID-19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Health and Safety Code, is amended by adding Section 81.054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81.054.</w:t>
      </w:r>
      <w:r>
        <w:rPr>
          <w:u w:val="single"/>
        </w:rPr>
        <w:t xml:space="preserve"> </w:t>
      </w:r>
      <w:r>
        <w:rPr>
          <w:u w:val="single"/>
        </w:rPr>
        <w:t xml:space="preserve"> </w:t>
      </w:r>
      <w:r>
        <w:rPr>
          <w:u w:val="single"/>
        </w:rPr>
        <w:t xml:space="preserve">COVID-19 DATA REPORTING.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facility" means a hospital, freestanding emergency medical care facility, urgent care or retail clinic, outpatient clinic, birthing center, ambulatory surgical center, long-term care facility, or other facility that is licensed to provide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health care facility that provides health care services to a patient diagnosed with COVID-19 shall report to the local health authority or department, in the form and manner prescribed by the executive commissioner, the number of patients treated by the facility who are diagnosed with or hospitalized for COVID-19 or for whom COVID-19 is a comorbidity contributing to the patient's death.  The data must be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status;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vaccination status, including, if applicable, the vaccine brand and the number of weeks that have elapsed from the date of the patient's final dose of the vaccine to the date the facility first provides the services following diagnosis.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any rules necessary to ensure health care facilities accurately and timely report the data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compile, publish, and regularly update the data collected under this section on the department's Internet website, disaggregated as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