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reduction in the maximum compressed tax rate of a school district and the form of the ballot proposition to be used in an election to approve a tax rate adopted by a school district that exceeds the district's voter-approval tax rate;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2022-2023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2022-2023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funds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2022-2023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13.054(f) and (f-1);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2023-2024 school year, the commissioner shall exclude the reduction in the district's maximum compressed tax rate under this section for the preceding school year from the value of the district's "PYMCR."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2022, Section 26.08(b),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the next uniform election date prescribed by Section 41.001, Election Code, that occurs after the date of the election order and that allows sufficient time to comply with the requirements of other law.</w:t>
      </w:r>
      <w:r xml:space="preserve">
        <w:t> </w:t>
      </w:r>
      <w:r xml:space="preserve">
        <w:t> </w:t>
      </w:r>
      <w:r>
        <w:t xml:space="preserve">At the election, the ballots shall be prepared to permit voting for or against the proposition:</w:t>
      </w:r>
      <w:r xml:space="preserve">
        <w:t> </w:t>
      </w:r>
      <w:r xml:space="preserve">
        <w:t> </w:t>
      </w:r>
      <w:r>
        <w:t xml:space="preserve">"Ratifying the ad valorem tax rate of ___ (insert adopted tax rate) in (name of school district) for the current year, a rate that 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  </w:t>
      </w:r>
      <w:r>
        <w:rPr>
          <w:u w:val="single"/>
        </w:rPr>
        <w:t xml:space="preserve">If the adopted tax rate is not ratified, the (name of school district) may not adopt a tax rate that exceeds ____ (insert the school district's voter-approval tax 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June 1, 2022, the comptroller of public accounts shall prepare and provide to the legislature an update of the biennial revenue estimate prepared in accordance with Section 49a, Article III, Texas Constitution, and provided to the legislature in January 2021. The update must include the difference between the estimated balance of general revenue-related funds available for certification at the end of the state fiscal year ending August 31, 2023, as determined under:</w:t>
      </w:r>
    </w:p>
    <w:p w:rsidR="003F3435" w:rsidRDefault="0032493E">
      <w:pPr>
        <w:spacing w:line="480" w:lineRule="auto"/>
        <w:ind w:firstLine="1440"/>
        <w:jc w:val="both"/>
      </w:pPr>
      <w:r>
        <w:t xml:space="preserve">(1)</w:t>
      </w:r>
      <w:r xml:space="preserve">
        <w:t> </w:t>
      </w:r>
      <w:r xml:space="preserve">
        <w:t> </w:t>
      </w:r>
      <w:r>
        <w:t xml:space="preserve">the update required under this subsection; and</w:t>
      </w:r>
    </w:p>
    <w:p w:rsidR="003F3435" w:rsidRDefault="0032493E">
      <w:pPr>
        <w:spacing w:line="480" w:lineRule="auto"/>
        <w:ind w:firstLine="1440"/>
        <w:jc w:val="both"/>
      </w:pPr>
      <w:r>
        <w:t xml:space="preserve">(2)</w:t>
      </w:r>
      <w:r xml:space="preserve">
        <w:t> </w:t>
      </w:r>
      <w:r xml:space="preserve">
        <w:t> </w:t>
      </w:r>
      <w:r>
        <w:t xml:space="preserve">the comptroller's biennial revenue estimate update provided to the legislature in August 2021.</w:t>
      </w:r>
    </w:p>
    <w:p w:rsidR="003F3435" w:rsidRDefault="0032493E">
      <w:pPr>
        <w:spacing w:line="480" w:lineRule="auto"/>
        <w:ind w:firstLine="720"/>
        <w:jc w:val="both"/>
      </w:pPr>
      <w:r>
        <w:t xml:space="preserve">(b)</w:t>
      </w:r>
      <w:r xml:space="preserve">
        <w:t> </w:t>
      </w:r>
      <w:r xml:space="preserve">
        <w:t> </w:t>
      </w:r>
      <w:r>
        <w:t xml:space="preserve">In addition to other amounts appropriated to the Texas Education Agency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it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