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87S20132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S.J.R.</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a member of the legislature to be in the state in order to receive a per diem during a legislative session.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24(a), Article 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Members of the Legislature shall receive from the Public Treasury a salary of Six Hundred Dollars ($600) per month, unless a greater amount is recommended by the Texas Ethics Commission and approved by the voters of this State in which case the salary is that amount. Each member shall also receive a per diem set by the Texas Ethics Commission for each day </w:t>
      </w:r>
      <w:r>
        <w:rPr>
          <w:u w:val="single"/>
        </w:rPr>
        <w:t xml:space="preserve">the member is in this State</w:t>
      </w:r>
      <w:r>
        <w:t xml:space="preserve"> during each Regular and Special Session of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8, 2022.  The ballot shall be printed to permit voting for or against the proposition:  "The constitutional amendment requiring a member of the legislature to be in the state in order to receive a per diem during a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