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S.J.R.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ind w:firstLine="720"/>
        <w:jc w:val="both"/>
      </w:pPr>
      <w:r>
        <w:t xml:space="preserve">proposing a constitutional amendment providing for the appropriation of certain surplus state revenue for the purpose of reducing school district maintenance and operations ad valorem taxes.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7-e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7-e.</w:t>
      </w:r>
      <w:r>
        <w:rPr>
          <w:u w:val="single"/>
        </w:rPr>
        <w:t xml:space="preserve"> </w:t>
      </w:r>
      <w:r>
        <w:rPr>
          <w:u w:val="single"/>
        </w:rPr>
        <w:t xml:space="preserve"> </w:t>
      </w:r>
      <w:r>
        <w:rPr>
          <w:u w:val="single"/>
        </w:rPr>
        <w:t xml:space="preserve">(a)  Subject to Subsection (c) of this section, the comptroller of public accounts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for deposit to the credit of a tax reduction and excellence in education fund state tax revenue that is not constitutionally or statutorily dedicated in an amount equal to 90 percent of the amount by which the amount of state tax revenue that is not constitutionally or statutorily dedicated received in a state fiscal biennium exceeds 104 percent of the amount of state tax revenue that is not constitutionally or statutorily dedicated that was received during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deposit to the credit of the tax reduction and excellence in education fund the revenue allocated under Subdivision (1) of this subsection, with the final deposit for that biennium to be made not later than the 90th day of the following state fiscal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(g) of this section, for each state fiscal biennium, the amount deposited to the credit of a tax reduction and excellence in education fund under Subsection (a) of this section for the preceding state fiscal biennium is automatically appropriated to the Texas Education Agency, or its successor in function, for the purpose of reducing as provided by general law the rate of school district maintenance and operations ad valorem taxes authorized under Section 3(e), Article VII, of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of this section, the legislature by adoption of a resolution approved by a record vote of two-thirds of the members of each house of the legislature may direct the comptroller of public accounts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amount of money deposited to the credit of a tax reduction and excellence in education fund under Subsection (a) of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amount of money appropriated to the Texas Education Agency, or its successor in function, under Subsection (b) of this section and transfer the amount by which the appropriation was reduced from the tax reduction and excellence in education fund in which the money was deposited under Subsection (a) of this section to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of public accounts may be directed to make a reduction under Subsection (c) of this section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state fiscal biennium in which the resolution is adopted, or in the following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amount that does not result in a reduction of more than 50 percent of the amount that would otherwise be appropriated to the Texas Education Agency, or its successor in function, in the affected state fiscal biennium under Subsection (b)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deposited to the credit of a tax reduction and excellence in education fund under Subsection (a) of this section may not be considered unencumbered general revenue for purposes of Section 49-g(b), Article III, of this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appropriated to the Texas Education Agency, or its successor in function, under Subsection (b) of this section may not be considered available for certification by the comptroller of public accounts under Section 49a(b), Article III, of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2nd Called Session, 2021, providing for the appropriation of certain surplus state revenue for the purpose of reducing school district maintenance and operations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7-e, Article VIII, of this constitution takes effect beginning with the state fiscal biennium beginning September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providing for the appropriation of certain surplus state revenue for the purpose of reducing school district maintenance and operations ad valorem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