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2021S0527-1  08/11/21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S.R.</w:t>
      </w:r>
      <w:r xml:space="preserve">
        <w:t> </w:t>
      </w:r>
      <w:r>
        <w:t xml:space="preserve">No.</w:t>
      </w:r>
      <w:r xml:space="preserve">
        <w:t> </w:t>
      </w:r>
      <w:r>
        <w:t xml:space="preserve">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Senate of the State of Texas is pleased to recognize Alfonzie Stepney for achieving the rank of Eagle</w:t>
      </w:r>
      <w:r xml:space="preserve">
        <w:t> </w:t>
      </w:r>
      <w:r>
        <w:t xml:space="preserve">Scout;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fine young man is a member of Scouts BSA Troop 711; as a member of the elite corps of Eagles, he is given the coveted Eagle Badge at a Court of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Few achieve this distinguished honor; only a small percentage of boys in the Scouts BSA program attain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Following the principles of the Scout oath and promise, Alfonzie advanced through the ranks of Tenderfoot, Second, First, Star, and Life classes before reaching Eagle Scout;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personable young man displayed leadership through planning, developing, and conducting a service project that benefited his community; for his project, he completed the Prayer Garden at Saint Mary Missionary Baptist Church; he is truly a shining example to his fellow Scouts and the young people of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becoming an Eagle Scout, Alfonzie has brought great honor to himself, his family, his troop, his community, and his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Senate of the State of Texas, 87th Legislature, 2nd Called Session, hereby commend Alfonzie Stepney on earning this prestigious honor and congratulate him on his outstanding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 copy of this Resolution be prepared for Eagle Scout Stepney as an expression of esteem from the Texas Senate.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