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977881" w14:paraId="64BF7F46" w14:textId="77777777" w:rsidTr="00345119">
        <w:tc>
          <w:tcPr>
            <w:tcW w:w="9576" w:type="dxa"/>
            <w:noWrap/>
          </w:tcPr>
          <w:p w14:paraId="18F4070F" w14:textId="77777777" w:rsidR="008423E4" w:rsidRPr="0022177D" w:rsidRDefault="007408C7" w:rsidP="00AD2571">
            <w:pPr>
              <w:pStyle w:val="Heading1"/>
            </w:pPr>
            <w:bookmarkStart w:id="0" w:name="_GoBack"/>
            <w:bookmarkEnd w:id="0"/>
            <w:r w:rsidRPr="00631897">
              <w:t>BILL ANALYSIS</w:t>
            </w:r>
          </w:p>
        </w:tc>
      </w:tr>
    </w:tbl>
    <w:p w14:paraId="21827C72" w14:textId="77777777" w:rsidR="008423E4" w:rsidRPr="0022177D" w:rsidRDefault="008423E4" w:rsidP="00AD2571">
      <w:pPr>
        <w:jc w:val="center"/>
      </w:pPr>
    </w:p>
    <w:p w14:paraId="25ECD6FD" w14:textId="77777777" w:rsidR="008423E4" w:rsidRPr="00B31F0E" w:rsidRDefault="008423E4" w:rsidP="00AD2571"/>
    <w:p w14:paraId="0A007CE2" w14:textId="77777777" w:rsidR="008423E4" w:rsidRPr="00742794" w:rsidRDefault="008423E4" w:rsidP="00AD2571">
      <w:pPr>
        <w:tabs>
          <w:tab w:val="right" w:pos="9360"/>
        </w:tabs>
      </w:pPr>
    </w:p>
    <w:tbl>
      <w:tblPr>
        <w:tblW w:w="0" w:type="auto"/>
        <w:tblLayout w:type="fixed"/>
        <w:tblLook w:val="01E0" w:firstRow="1" w:lastRow="1" w:firstColumn="1" w:lastColumn="1" w:noHBand="0" w:noVBand="0"/>
      </w:tblPr>
      <w:tblGrid>
        <w:gridCol w:w="9576"/>
      </w:tblGrid>
      <w:tr w:rsidR="00977881" w14:paraId="1E6449BC" w14:textId="77777777" w:rsidTr="00345119">
        <w:tc>
          <w:tcPr>
            <w:tcW w:w="9576" w:type="dxa"/>
          </w:tcPr>
          <w:p w14:paraId="4FC39CD4" w14:textId="4CCD9142" w:rsidR="008423E4" w:rsidRPr="00861995" w:rsidRDefault="007408C7" w:rsidP="00AD2571">
            <w:pPr>
              <w:jc w:val="right"/>
            </w:pPr>
            <w:r>
              <w:t>C.S.S.B. 52</w:t>
            </w:r>
          </w:p>
        </w:tc>
      </w:tr>
      <w:tr w:rsidR="00977881" w14:paraId="681BCD76" w14:textId="77777777" w:rsidTr="00345119">
        <w:tc>
          <w:tcPr>
            <w:tcW w:w="9576" w:type="dxa"/>
          </w:tcPr>
          <w:p w14:paraId="086D672D" w14:textId="7DF38E88" w:rsidR="008423E4" w:rsidRPr="00861995" w:rsidRDefault="007408C7" w:rsidP="00AD2571">
            <w:pPr>
              <w:jc w:val="right"/>
            </w:pPr>
            <w:r>
              <w:t xml:space="preserve">By: </w:t>
            </w:r>
            <w:r w:rsidR="007C03FC">
              <w:t>Creighton</w:t>
            </w:r>
          </w:p>
        </w:tc>
      </w:tr>
      <w:tr w:rsidR="00977881" w14:paraId="37C6E9F5" w14:textId="77777777" w:rsidTr="00345119">
        <w:tc>
          <w:tcPr>
            <w:tcW w:w="9576" w:type="dxa"/>
          </w:tcPr>
          <w:p w14:paraId="0DA616D7" w14:textId="61AD78DC" w:rsidR="008423E4" w:rsidRPr="00861995" w:rsidRDefault="007408C7" w:rsidP="00AD2571">
            <w:pPr>
              <w:jc w:val="right"/>
            </w:pPr>
            <w:r>
              <w:t>Appropriations</w:t>
            </w:r>
          </w:p>
        </w:tc>
      </w:tr>
      <w:tr w:rsidR="00977881" w14:paraId="52000551" w14:textId="77777777" w:rsidTr="00345119">
        <w:tc>
          <w:tcPr>
            <w:tcW w:w="9576" w:type="dxa"/>
          </w:tcPr>
          <w:p w14:paraId="650A2A27" w14:textId="6D036BFD" w:rsidR="008423E4" w:rsidRDefault="007408C7" w:rsidP="00AD2571">
            <w:pPr>
              <w:jc w:val="right"/>
            </w:pPr>
            <w:r>
              <w:t>Committee Report (Substituted)</w:t>
            </w:r>
          </w:p>
        </w:tc>
      </w:tr>
    </w:tbl>
    <w:p w14:paraId="65D8C486" w14:textId="77777777" w:rsidR="008423E4" w:rsidRDefault="008423E4" w:rsidP="00AD2571">
      <w:pPr>
        <w:tabs>
          <w:tab w:val="right" w:pos="9360"/>
        </w:tabs>
      </w:pPr>
    </w:p>
    <w:p w14:paraId="47F82930" w14:textId="77777777" w:rsidR="008423E4" w:rsidRDefault="008423E4" w:rsidP="00AD2571"/>
    <w:p w14:paraId="1650EE7B" w14:textId="77777777" w:rsidR="008423E4" w:rsidRDefault="008423E4" w:rsidP="00AD2571"/>
    <w:tbl>
      <w:tblPr>
        <w:tblW w:w="0" w:type="auto"/>
        <w:tblCellMar>
          <w:left w:w="115" w:type="dxa"/>
          <w:right w:w="115" w:type="dxa"/>
        </w:tblCellMar>
        <w:tblLook w:val="01E0" w:firstRow="1" w:lastRow="1" w:firstColumn="1" w:lastColumn="1" w:noHBand="0" w:noVBand="0"/>
      </w:tblPr>
      <w:tblGrid>
        <w:gridCol w:w="9360"/>
      </w:tblGrid>
      <w:tr w:rsidR="00977881" w14:paraId="046A44FC" w14:textId="77777777" w:rsidTr="00AD2571">
        <w:tc>
          <w:tcPr>
            <w:tcW w:w="9360" w:type="dxa"/>
          </w:tcPr>
          <w:p w14:paraId="39D9A892" w14:textId="77777777" w:rsidR="008423E4" w:rsidRPr="00A8133F" w:rsidRDefault="007408C7" w:rsidP="00AD2571">
            <w:pPr>
              <w:rPr>
                <w:b/>
              </w:rPr>
            </w:pPr>
            <w:r w:rsidRPr="009C1E9A">
              <w:rPr>
                <w:b/>
                <w:u w:val="single"/>
              </w:rPr>
              <w:t>BACKGROUND AND PURPOSE</w:t>
            </w:r>
            <w:r>
              <w:rPr>
                <w:b/>
              </w:rPr>
              <w:t xml:space="preserve"> </w:t>
            </w:r>
          </w:p>
          <w:p w14:paraId="6E24B23E" w14:textId="77777777" w:rsidR="008423E4" w:rsidRDefault="008423E4" w:rsidP="00AD2571"/>
          <w:p w14:paraId="10D6E020" w14:textId="176AB9F8" w:rsidR="008423E4" w:rsidRDefault="007408C7" w:rsidP="00AD2571">
            <w:pPr>
              <w:pStyle w:val="Header"/>
              <w:tabs>
                <w:tab w:val="clear" w:pos="4320"/>
                <w:tab w:val="clear" w:pos="8640"/>
              </w:tabs>
              <w:jc w:val="both"/>
            </w:pPr>
            <w:r>
              <w:rPr>
                <w:color w:val="000000"/>
              </w:rPr>
              <w:t>There have been calls to provide university systems in Texas with greater flexibility to undertake capital projects on the campuses of their institutions. It has been noted that providing these systems the authority to acquire and improve certain facilitie</w:t>
            </w:r>
            <w:r>
              <w:rPr>
                <w:color w:val="000000"/>
              </w:rPr>
              <w:t>s for projects to be financed through the issuance of bonds and system-wide revenue financing programs would help offer the flexibility needed to build new facilities, update existing projects, and ensure Texas is on track to meet the higher education need</w:t>
            </w:r>
            <w:r>
              <w:rPr>
                <w:color w:val="000000"/>
              </w:rPr>
              <w:t xml:space="preserve">s of its students. </w:t>
            </w:r>
            <w:r w:rsidR="00FF5BEA">
              <w:rPr>
                <w:color w:val="000000"/>
              </w:rPr>
              <w:t>C.S.</w:t>
            </w:r>
            <w:r>
              <w:rPr>
                <w:color w:val="000000"/>
              </w:rPr>
              <w:t>S.B. 52 seeks to address this issue by providing for the issuance of revenue bonds to fund capital projects at public institutions of higher education in Texas.</w:t>
            </w:r>
          </w:p>
          <w:p w14:paraId="1E60D8CF" w14:textId="77777777" w:rsidR="008423E4" w:rsidRPr="00E26B13" w:rsidRDefault="008423E4" w:rsidP="00AD2571">
            <w:pPr>
              <w:rPr>
                <w:b/>
              </w:rPr>
            </w:pPr>
          </w:p>
        </w:tc>
      </w:tr>
      <w:tr w:rsidR="00977881" w14:paraId="1640E4D0" w14:textId="77777777" w:rsidTr="00AD2571">
        <w:tc>
          <w:tcPr>
            <w:tcW w:w="9360" w:type="dxa"/>
          </w:tcPr>
          <w:p w14:paraId="7BE52B78" w14:textId="77777777" w:rsidR="0017725B" w:rsidRDefault="007408C7" w:rsidP="00AD2571">
            <w:pPr>
              <w:rPr>
                <w:b/>
                <w:u w:val="single"/>
              </w:rPr>
            </w:pPr>
            <w:r>
              <w:rPr>
                <w:b/>
                <w:u w:val="single"/>
              </w:rPr>
              <w:t>CRIMINAL JUSTICE IMPACT</w:t>
            </w:r>
          </w:p>
          <w:p w14:paraId="21C19614" w14:textId="77777777" w:rsidR="0017725B" w:rsidRDefault="0017725B" w:rsidP="00AD2571">
            <w:pPr>
              <w:rPr>
                <w:b/>
                <w:u w:val="single"/>
              </w:rPr>
            </w:pPr>
          </w:p>
          <w:p w14:paraId="1AA73DEE" w14:textId="77777777" w:rsidR="00E62BE9" w:rsidRPr="00E62BE9" w:rsidRDefault="007408C7" w:rsidP="00AD2571">
            <w:pPr>
              <w:jc w:val="both"/>
            </w:pPr>
            <w:r>
              <w:t xml:space="preserve">It is the committee's opinion that this bill </w:t>
            </w:r>
            <w:r>
              <w:t>does not expressly create a criminal offense, increase the punishment for an existing criminal offense or category of offenses, or change the eligibility of a person for community supervision, parole, or mandatory supervision.</w:t>
            </w:r>
          </w:p>
          <w:p w14:paraId="1CFFA3F0" w14:textId="77777777" w:rsidR="0017725B" w:rsidRPr="0017725B" w:rsidRDefault="0017725B" w:rsidP="00AD2571">
            <w:pPr>
              <w:rPr>
                <w:b/>
                <w:u w:val="single"/>
              </w:rPr>
            </w:pPr>
          </w:p>
        </w:tc>
      </w:tr>
      <w:tr w:rsidR="00977881" w14:paraId="097E7147" w14:textId="77777777" w:rsidTr="00AD2571">
        <w:tc>
          <w:tcPr>
            <w:tcW w:w="9360" w:type="dxa"/>
          </w:tcPr>
          <w:p w14:paraId="5296C2FF" w14:textId="77777777" w:rsidR="008423E4" w:rsidRPr="00A8133F" w:rsidRDefault="007408C7" w:rsidP="00AD2571">
            <w:pPr>
              <w:rPr>
                <w:b/>
              </w:rPr>
            </w:pPr>
            <w:r w:rsidRPr="009C1E9A">
              <w:rPr>
                <w:b/>
                <w:u w:val="single"/>
              </w:rPr>
              <w:t>RULEMAKING AUTHORITY</w:t>
            </w:r>
            <w:r>
              <w:rPr>
                <w:b/>
              </w:rPr>
              <w:t xml:space="preserve"> </w:t>
            </w:r>
          </w:p>
          <w:p w14:paraId="7CC39CC1" w14:textId="77777777" w:rsidR="008423E4" w:rsidRDefault="008423E4" w:rsidP="00AD2571"/>
          <w:p w14:paraId="77619C6F" w14:textId="77777777" w:rsidR="00E62BE9" w:rsidRDefault="007408C7" w:rsidP="00AD2571">
            <w:pPr>
              <w:pStyle w:val="Header"/>
              <w:tabs>
                <w:tab w:val="clear" w:pos="4320"/>
                <w:tab w:val="clear" w:pos="8640"/>
              </w:tabs>
              <w:jc w:val="both"/>
            </w:pPr>
            <w:r>
              <w:t>It i</w:t>
            </w:r>
            <w:r>
              <w:t>s the committee's opinion that this bill does not expressly grant any additional rulemaking authority to a state officer, department, agency, or institution.</w:t>
            </w:r>
          </w:p>
          <w:p w14:paraId="76BB4622" w14:textId="77777777" w:rsidR="008423E4" w:rsidRPr="00E21FDC" w:rsidRDefault="008423E4" w:rsidP="00AD2571">
            <w:pPr>
              <w:rPr>
                <w:b/>
              </w:rPr>
            </w:pPr>
          </w:p>
        </w:tc>
      </w:tr>
      <w:tr w:rsidR="00977881" w14:paraId="79389727" w14:textId="77777777" w:rsidTr="00AD2571">
        <w:tc>
          <w:tcPr>
            <w:tcW w:w="9360" w:type="dxa"/>
          </w:tcPr>
          <w:p w14:paraId="52CC6C0F" w14:textId="77777777" w:rsidR="008423E4" w:rsidRPr="00A8133F" w:rsidRDefault="007408C7" w:rsidP="00AD2571">
            <w:pPr>
              <w:rPr>
                <w:b/>
              </w:rPr>
            </w:pPr>
            <w:r w:rsidRPr="009C1E9A">
              <w:rPr>
                <w:b/>
                <w:u w:val="single"/>
              </w:rPr>
              <w:t>ANALYSIS</w:t>
            </w:r>
            <w:r>
              <w:rPr>
                <w:b/>
              </w:rPr>
              <w:t xml:space="preserve"> </w:t>
            </w:r>
          </w:p>
          <w:p w14:paraId="075A6F4B" w14:textId="77777777" w:rsidR="008423E4" w:rsidRDefault="008423E4" w:rsidP="00AD2571"/>
          <w:p w14:paraId="336C3CAE" w14:textId="49BD0BEE" w:rsidR="009C36CD" w:rsidRDefault="007408C7" w:rsidP="00AD2571">
            <w:pPr>
              <w:pStyle w:val="Header"/>
              <w:tabs>
                <w:tab w:val="clear" w:pos="4320"/>
                <w:tab w:val="clear" w:pos="8640"/>
              </w:tabs>
              <w:jc w:val="both"/>
            </w:pPr>
            <w:r>
              <w:t>C.S.</w:t>
            </w:r>
            <w:r w:rsidR="00E62BE9">
              <w:t xml:space="preserve">S.B. 52 </w:t>
            </w:r>
            <w:r w:rsidR="00E62BE9" w:rsidRPr="00E62BE9">
              <w:t>amends the Education Code to authorize the boards of regents of the following public higher education</w:t>
            </w:r>
            <w:r w:rsidR="00094A44">
              <w:t xml:space="preserve"> entities</w:t>
            </w:r>
            <w:r w:rsidR="00E62BE9" w:rsidRPr="00E62BE9">
              <w:t xml:space="preserve"> to acquire, purchase, construct, improve, renovate, enlarge, or equip property and facilities for specified capital projects to be financed through the issuance of bonds and </w:t>
            </w:r>
            <w:r w:rsidR="00094A44">
              <w:t>any applicable</w:t>
            </w:r>
            <w:r w:rsidR="00E62BE9" w:rsidRPr="00E62BE9">
              <w:t xml:space="preserve"> system-wide revenue financing program</w:t>
            </w:r>
            <w:r w:rsidR="00E62BE9">
              <w:t>:</w:t>
            </w:r>
          </w:p>
          <w:p w14:paraId="5A60AE09" w14:textId="7D3BB719" w:rsidR="00E62BE9" w:rsidRDefault="007408C7" w:rsidP="00AD2571">
            <w:pPr>
              <w:pStyle w:val="Header"/>
              <w:numPr>
                <w:ilvl w:val="0"/>
                <w:numId w:val="1"/>
              </w:numPr>
              <w:tabs>
                <w:tab w:val="clear" w:pos="4320"/>
                <w:tab w:val="clear" w:pos="8640"/>
              </w:tabs>
              <w:jc w:val="both"/>
            </w:pPr>
            <w:r w:rsidRPr="00E62BE9">
              <w:t>The Texas A&amp;M University System</w:t>
            </w:r>
            <w:r>
              <w:t>;</w:t>
            </w:r>
          </w:p>
          <w:p w14:paraId="4A016C68" w14:textId="7B0CFE92" w:rsidR="00E62BE9" w:rsidRDefault="007408C7" w:rsidP="00AD2571">
            <w:pPr>
              <w:pStyle w:val="Header"/>
              <w:numPr>
                <w:ilvl w:val="0"/>
                <w:numId w:val="1"/>
              </w:numPr>
              <w:tabs>
                <w:tab w:val="clear" w:pos="4320"/>
                <w:tab w:val="clear" w:pos="8640"/>
              </w:tabs>
              <w:jc w:val="both"/>
            </w:pPr>
            <w:r w:rsidRPr="00E62BE9">
              <w:t>The University of Texas System;</w:t>
            </w:r>
          </w:p>
          <w:p w14:paraId="33A8A328" w14:textId="29E50002" w:rsidR="00E62BE9" w:rsidRDefault="007408C7" w:rsidP="00AD2571">
            <w:pPr>
              <w:pStyle w:val="Header"/>
              <w:numPr>
                <w:ilvl w:val="0"/>
                <w:numId w:val="1"/>
              </w:numPr>
              <w:tabs>
                <w:tab w:val="clear" w:pos="4320"/>
                <w:tab w:val="clear" w:pos="8640"/>
              </w:tabs>
              <w:jc w:val="both"/>
            </w:pPr>
            <w:r>
              <w:t>the University of Houston System;</w:t>
            </w:r>
          </w:p>
          <w:p w14:paraId="6787F30C" w14:textId="2CBA0E06" w:rsidR="00E62BE9" w:rsidRDefault="007408C7" w:rsidP="00AD2571">
            <w:pPr>
              <w:pStyle w:val="Header"/>
              <w:numPr>
                <w:ilvl w:val="0"/>
                <w:numId w:val="1"/>
              </w:numPr>
              <w:tabs>
                <w:tab w:val="clear" w:pos="4320"/>
                <w:tab w:val="clear" w:pos="8640"/>
              </w:tabs>
              <w:jc w:val="both"/>
            </w:pPr>
            <w:r>
              <w:t>the Texas State University System;</w:t>
            </w:r>
          </w:p>
          <w:p w14:paraId="6583F211" w14:textId="78A94260" w:rsidR="00E62BE9" w:rsidRDefault="007408C7" w:rsidP="00AD2571">
            <w:pPr>
              <w:pStyle w:val="Header"/>
              <w:numPr>
                <w:ilvl w:val="0"/>
                <w:numId w:val="1"/>
              </w:numPr>
              <w:tabs>
                <w:tab w:val="clear" w:pos="4320"/>
                <w:tab w:val="clear" w:pos="8640"/>
              </w:tabs>
              <w:jc w:val="both"/>
            </w:pPr>
            <w:r>
              <w:t>the University of North Texas System;</w:t>
            </w:r>
          </w:p>
          <w:p w14:paraId="11EA66CC" w14:textId="77777777" w:rsidR="00E62BE9" w:rsidRDefault="007408C7" w:rsidP="00AD2571">
            <w:pPr>
              <w:pStyle w:val="Header"/>
              <w:numPr>
                <w:ilvl w:val="0"/>
                <w:numId w:val="1"/>
              </w:numPr>
              <w:tabs>
                <w:tab w:val="clear" w:pos="4320"/>
                <w:tab w:val="clear" w:pos="8640"/>
              </w:tabs>
              <w:jc w:val="both"/>
            </w:pPr>
            <w:r>
              <w:t>Texas Woman's University;</w:t>
            </w:r>
          </w:p>
          <w:p w14:paraId="687653CF" w14:textId="77777777" w:rsidR="00E62BE9" w:rsidRDefault="007408C7" w:rsidP="00AD2571">
            <w:pPr>
              <w:pStyle w:val="Header"/>
              <w:numPr>
                <w:ilvl w:val="0"/>
                <w:numId w:val="1"/>
              </w:numPr>
              <w:tabs>
                <w:tab w:val="clear" w:pos="4320"/>
                <w:tab w:val="clear" w:pos="8640"/>
              </w:tabs>
              <w:jc w:val="both"/>
            </w:pPr>
            <w:r>
              <w:t xml:space="preserve">Stephen F. Austin </w:t>
            </w:r>
            <w:r>
              <w:t>State University;</w:t>
            </w:r>
          </w:p>
          <w:p w14:paraId="1E7A12C7" w14:textId="78B8D81D" w:rsidR="00E62BE9" w:rsidRDefault="007408C7" w:rsidP="00AD2571">
            <w:pPr>
              <w:pStyle w:val="Header"/>
              <w:numPr>
                <w:ilvl w:val="0"/>
                <w:numId w:val="1"/>
              </w:numPr>
              <w:tabs>
                <w:tab w:val="clear" w:pos="4320"/>
                <w:tab w:val="clear" w:pos="8640"/>
              </w:tabs>
              <w:jc w:val="both"/>
            </w:pPr>
            <w:r>
              <w:t>the Texas Tech University System;</w:t>
            </w:r>
          </w:p>
          <w:p w14:paraId="4C2F2952" w14:textId="77777777" w:rsidR="00E62BE9" w:rsidRDefault="007408C7" w:rsidP="00AD2571">
            <w:pPr>
              <w:pStyle w:val="Header"/>
              <w:numPr>
                <w:ilvl w:val="0"/>
                <w:numId w:val="1"/>
              </w:numPr>
              <w:tabs>
                <w:tab w:val="clear" w:pos="4320"/>
                <w:tab w:val="clear" w:pos="8640"/>
              </w:tabs>
              <w:jc w:val="both"/>
            </w:pPr>
            <w:r>
              <w:t>Texas Southern University; and</w:t>
            </w:r>
          </w:p>
          <w:p w14:paraId="4850FE23" w14:textId="77777777" w:rsidR="00E62BE9" w:rsidRDefault="007408C7" w:rsidP="00AD2571">
            <w:pPr>
              <w:pStyle w:val="Header"/>
              <w:numPr>
                <w:ilvl w:val="0"/>
                <w:numId w:val="1"/>
              </w:numPr>
              <w:tabs>
                <w:tab w:val="clear" w:pos="4320"/>
                <w:tab w:val="clear" w:pos="8640"/>
              </w:tabs>
              <w:jc w:val="both"/>
            </w:pPr>
            <w:r>
              <w:t>certain components of the Texas State Technical College System.</w:t>
            </w:r>
          </w:p>
          <w:p w14:paraId="66326C44" w14:textId="77777777" w:rsidR="00E62BE9" w:rsidRDefault="007408C7" w:rsidP="00AD2571">
            <w:pPr>
              <w:pStyle w:val="Header"/>
              <w:tabs>
                <w:tab w:val="clear" w:pos="4320"/>
                <w:tab w:val="clear" w:pos="8640"/>
              </w:tabs>
              <w:jc w:val="both"/>
            </w:pPr>
            <w:r>
              <w:t xml:space="preserve">The bill sets out, </w:t>
            </w:r>
            <w:r w:rsidRPr="00E62BE9">
              <w:t>for each institution, the specified projects that may be financed by the bonds and the max</w:t>
            </w:r>
            <w:r w:rsidRPr="00E62BE9">
              <w:t>imum aggregate principal amounts that may be financed for each project.</w:t>
            </w:r>
          </w:p>
          <w:p w14:paraId="37704798" w14:textId="77777777" w:rsidR="00E62BE9" w:rsidRDefault="00E62BE9" w:rsidP="00AD2571">
            <w:pPr>
              <w:pStyle w:val="Header"/>
              <w:tabs>
                <w:tab w:val="clear" w:pos="4320"/>
                <w:tab w:val="clear" w:pos="8640"/>
              </w:tabs>
              <w:jc w:val="both"/>
            </w:pPr>
          </w:p>
          <w:p w14:paraId="4F55A76A" w14:textId="2C56D714" w:rsidR="00A84B42" w:rsidRDefault="007408C7" w:rsidP="00AD2571">
            <w:pPr>
              <w:pStyle w:val="Header"/>
              <w:tabs>
                <w:tab w:val="clear" w:pos="4320"/>
                <w:tab w:val="clear" w:pos="8640"/>
              </w:tabs>
              <w:jc w:val="both"/>
            </w:pPr>
            <w:r>
              <w:t>C.S.</w:t>
            </w:r>
            <w:r w:rsidR="00E62BE9">
              <w:t xml:space="preserve">S.B. 52 </w:t>
            </w:r>
            <w:r w:rsidR="00E62BE9" w:rsidRPr="00E62BE9">
              <w:t xml:space="preserve">provides for </w:t>
            </w:r>
            <w:r>
              <w:t>the following:</w:t>
            </w:r>
          </w:p>
          <w:p w14:paraId="46C9C574" w14:textId="513E0838" w:rsidR="00A84B42" w:rsidRDefault="007408C7" w:rsidP="00AD2571">
            <w:pPr>
              <w:pStyle w:val="Header"/>
              <w:numPr>
                <w:ilvl w:val="0"/>
                <w:numId w:val="2"/>
              </w:numPr>
              <w:tabs>
                <w:tab w:val="clear" w:pos="4320"/>
                <w:tab w:val="clear" w:pos="8640"/>
              </w:tabs>
              <w:jc w:val="both"/>
            </w:pPr>
            <w:r w:rsidRPr="00E62BE9">
              <w:t>the authority of each applicable board of regents to pledge revenue funds to the payment of the bonds</w:t>
            </w:r>
            <w:r>
              <w:t>;</w:t>
            </w:r>
          </w:p>
          <w:p w14:paraId="3D12DB73" w14:textId="77777777" w:rsidR="00FF5BEA" w:rsidRDefault="007408C7" w:rsidP="00AD2571">
            <w:pPr>
              <w:pStyle w:val="Header"/>
              <w:numPr>
                <w:ilvl w:val="0"/>
                <w:numId w:val="2"/>
              </w:numPr>
              <w:tabs>
                <w:tab w:val="clear" w:pos="4320"/>
                <w:tab w:val="clear" w:pos="8640"/>
              </w:tabs>
              <w:jc w:val="both"/>
            </w:pPr>
            <w:r w:rsidRPr="00E62BE9">
              <w:t>the transfer of funds among each system'</w:t>
            </w:r>
            <w:r w:rsidRPr="00E62BE9">
              <w:t>s institutions, branches, and entities</w:t>
            </w:r>
            <w:r w:rsidR="004F14F0">
              <w:t>, as applicable,</w:t>
            </w:r>
            <w:r w:rsidRPr="00E62BE9">
              <w:t xml:space="preserve"> if sufficient funds are not available to meet the board's obligations under the bill's provisions</w:t>
            </w:r>
            <w:r w:rsidR="00A84B42">
              <w:t>;</w:t>
            </w:r>
          </w:p>
          <w:p w14:paraId="7FD285C5" w14:textId="6647CBDD" w:rsidR="00A84B42" w:rsidRDefault="007408C7" w:rsidP="00AD2571">
            <w:pPr>
              <w:pStyle w:val="Header"/>
              <w:numPr>
                <w:ilvl w:val="0"/>
                <w:numId w:val="2"/>
              </w:numPr>
              <w:tabs>
                <w:tab w:val="clear" w:pos="4320"/>
                <w:tab w:val="clear" w:pos="8640"/>
              </w:tabs>
              <w:jc w:val="both"/>
            </w:pPr>
            <w:r>
              <w:t>the authority of each applicable board of regents to finance an alternative project for deferred maint</w:t>
            </w:r>
            <w:r>
              <w:t>enance or infrastructure at the same institution or entity and a requirement for each board to notify the Texas Higher Education Coordinating Board of any such alternative project;</w:t>
            </w:r>
            <w:r w:rsidR="00CC6603">
              <w:t xml:space="preserve"> </w:t>
            </w:r>
            <w:r>
              <w:t>and</w:t>
            </w:r>
          </w:p>
          <w:p w14:paraId="2EBF9FAF" w14:textId="30708594" w:rsidR="008423E4" w:rsidRDefault="007408C7" w:rsidP="00AD2571">
            <w:pPr>
              <w:pStyle w:val="Header"/>
              <w:numPr>
                <w:ilvl w:val="0"/>
                <w:numId w:val="2"/>
              </w:numPr>
              <w:tabs>
                <w:tab w:val="clear" w:pos="4320"/>
                <w:tab w:val="clear" w:pos="8640"/>
              </w:tabs>
              <w:jc w:val="both"/>
            </w:pPr>
            <w:r>
              <w:t xml:space="preserve">the designation of </w:t>
            </w:r>
            <w:r w:rsidRPr="00955133">
              <w:t>certain funds allocated from the appropriation of ge</w:t>
            </w:r>
            <w:r w:rsidRPr="00955133">
              <w:t>neral revenue to an institution of higher education to supplement revenue funds as</w:t>
            </w:r>
            <w:r>
              <w:t xml:space="preserve"> "</w:t>
            </w:r>
            <w:r w:rsidR="00CC6603">
              <w:t>Capital Improvement Debt Assistance</w:t>
            </w:r>
            <w:r>
              <w:t>."</w:t>
            </w:r>
          </w:p>
          <w:p w14:paraId="219F597B" w14:textId="2A8AED55" w:rsidR="00A2409A" w:rsidRPr="00A2409A" w:rsidRDefault="00A2409A" w:rsidP="00AD2571">
            <w:pPr>
              <w:pStyle w:val="Header"/>
              <w:tabs>
                <w:tab w:val="clear" w:pos="4320"/>
                <w:tab w:val="clear" w:pos="8640"/>
              </w:tabs>
              <w:ind w:left="720"/>
              <w:jc w:val="both"/>
            </w:pPr>
          </w:p>
        </w:tc>
      </w:tr>
      <w:tr w:rsidR="00977881" w14:paraId="3AE04B4A" w14:textId="77777777" w:rsidTr="00AD2571">
        <w:tc>
          <w:tcPr>
            <w:tcW w:w="9360" w:type="dxa"/>
          </w:tcPr>
          <w:p w14:paraId="0B0B9A59" w14:textId="77777777" w:rsidR="008423E4" w:rsidRPr="00A8133F" w:rsidRDefault="007408C7" w:rsidP="00AD2571">
            <w:pPr>
              <w:rPr>
                <w:b/>
              </w:rPr>
            </w:pPr>
            <w:r w:rsidRPr="009C1E9A">
              <w:rPr>
                <w:b/>
                <w:u w:val="single"/>
              </w:rPr>
              <w:t>EFFECTIVE DATE</w:t>
            </w:r>
            <w:r>
              <w:rPr>
                <w:b/>
              </w:rPr>
              <w:t xml:space="preserve"> </w:t>
            </w:r>
          </w:p>
          <w:p w14:paraId="572D0074" w14:textId="77777777" w:rsidR="008423E4" w:rsidRDefault="008423E4" w:rsidP="00AD2571"/>
          <w:p w14:paraId="74773DDA" w14:textId="77777777" w:rsidR="008423E4" w:rsidRPr="003624F2" w:rsidRDefault="007408C7" w:rsidP="00AD2571">
            <w:pPr>
              <w:pStyle w:val="Header"/>
              <w:tabs>
                <w:tab w:val="clear" w:pos="4320"/>
                <w:tab w:val="clear" w:pos="8640"/>
              </w:tabs>
              <w:jc w:val="both"/>
            </w:pPr>
            <w:r>
              <w:t>91st day after the last day of the legislative session.</w:t>
            </w:r>
          </w:p>
          <w:p w14:paraId="1D8CBAA0" w14:textId="77777777" w:rsidR="008423E4" w:rsidRPr="00233FDB" w:rsidRDefault="008423E4" w:rsidP="00AD2571">
            <w:pPr>
              <w:rPr>
                <w:b/>
              </w:rPr>
            </w:pPr>
          </w:p>
        </w:tc>
      </w:tr>
      <w:tr w:rsidR="00977881" w14:paraId="73BB97E2" w14:textId="77777777" w:rsidTr="00AD2571">
        <w:tc>
          <w:tcPr>
            <w:tcW w:w="9360" w:type="dxa"/>
          </w:tcPr>
          <w:p w14:paraId="58518607" w14:textId="77777777" w:rsidR="007C03FC" w:rsidRDefault="007408C7" w:rsidP="00AD2571">
            <w:pPr>
              <w:jc w:val="both"/>
              <w:rPr>
                <w:b/>
                <w:u w:val="single"/>
              </w:rPr>
            </w:pPr>
            <w:r>
              <w:rPr>
                <w:b/>
                <w:u w:val="single"/>
              </w:rPr>
              <w:t>COMPARISON OF SENATE ENGROSSED AND SUBSTITUTE</w:t>
            </w:r>
          </w:p>
          <w:p w14:paraId="72AD19E5" w14:textId="77777777" w:rsidR="00A2409A" w:rsidRDefault="00A2409A" w:rsidP="00AD2571">
            <w:pPr>
              <w:jc w:val="both"/>
              <w:rPr>
                <w:b/>
                <w:u w:val="single"/>
              </w:rPr>
            </w:pPr>
          </w:p>
          <w:p w14:paraId="315A1D65" w14:textId="77777777" w:rsidR="006B452A" w:rsidRDefault="007408C7" w:rsidP="00AD2571">
            <w:pPr>
              <w:jc w:val="both"/>
            </w:pPr>
            <w:r>
              <w:t xml:space="preserve">While </w:t>
            </w:r>
            <w:r>
              <w:t>C.S.S.B. 52 may differ from the engrossed in minor or nonsubstantive ways, the following summarizes the substantial differences between the engrossed and committee substitute versions of the bill.</w:t>
            </w:r>
          </w:p>
          <w:p w14:paraId="6926830E" w14:textId="77777777" w:rsidR="006B452A" w:rsidRDefault="006B452A" w:rsidP="00AD2571">
            <w:pPr>
              <w:jc w:val="both"/>
            </w:pPr>
          </w:p>
          <w:p w14:paraId="057EA85A" w14:textId="77777777" w:rsidR="006B452A" w:rsidRDefault="007408C7" w:rsidP="00AD2571">
            <w:pPr>
              <w:pStyle w:val="Header"/>
              <w:tabs>
                <w:tab w:val="clear" w:pos="4320"/>
                <w:tab w:val="clear" w:pos="8640"/>
              </w:tabs>
              <w:jc w:val="both"/>
            </w:pPr>
            <w:r w:rsidRPr="00364685">
              <w:t>The engrossed provided the maximum aggregate principal amo</w:t>
            </w:r>
            <w:r w:rsidRPr="00364685">
              <w:t>unts that may be financed by the bonds for each project authorized under the bill's provisions, whereas the substitute revises those amounts and further specifies the projects for which the bonds may be used.</w:t>
            </w:r>
          </w:p>
          <w:p w14:paraId="670D2643" w14:textId="77777777" w:rsidR="006B452A" w:rsidRDefault="006B452A" w:rsidP="00AD2571">
            <w:pPr>
              <w:pStyle w:val="Header"/>
              <w:tabs>
                <w:tab w:val="clear" w:pos="4320"/>
                <w:tab w:val="clear" w:pos="8640"/>
              </w:tabs>
              <w:jc w:val="both"/>
            </w:pPr>
          </w:p>
          <w:p w14:paraId="7E81C090" w14:textId="77777777" w:rsidR="006B452A" w:rsidRDefault="007408C7" w:rsidP="00AD2571">
            <w:pPr>
              <w:pStyle w:val="Header"/>
              <w:tabs>
                <w:tab w:val="clear" w:pos="4320"/>
                <w:tab w:val="clear" w:pos="8640"/>
              </w:tabs>
              <w:jc w:val="both"/>
              <w:rPr>
                <w:color w:val="000000"/>
              </w:rPr>
            </w:pPr>
            <w:r>
              <w:rPr>
                <w:color w:val="000000"/>
              </w:rPr>
              <w:t>The substitute provides aggregate principal am</w:t>
            </w:r>
            <w:r>
              <w:rPr>
                <w:color w:val="000000"/>
              </w:rPr>
              <w:t>ounts for the following institutions, which did not receive any amounts in the engrossed:</w:t>
            </w:r>
          </w:p>
          <w:p w14:paraId="5CEC82B8" w14:textId="77777777" w:rsidR="000E354F" w:rsidRDefault="007408C7" w:rsidP="00AD2571">
            <w:pPr>
              <w:pStyle w:val="Header"/>
              <w:numPr>
                <w:ilvl w:val="0"/>
                <w:numId w:val="3"/>
              </w:numPr>
              <w:tabs>
                <w:tab w:val="clear" w:pos="4320"/>
                <w:tab w:val="clear" w:pos="8640"/>
              </w:tabs>
              <w:jc w:val="both"/>
            </w:pPr>
            <w:r>
              <w:t>in The Texas A&amp;M System:</w:t>
            </w:r>
          </w:p>
          <w:p w14:paraId="52C5478D" w14:textId="06DA3897" w:rsidR="006B452A" w:rsidRDefault="007408C7" w:rsidP="00AD2571">
            <w:pPr>
              <w:pStyle w:val="Header"/>
              <w:numPr>
                <w:ilvl w:val="1"/>
                <w:numId w:val="3"/>
              </w:numPr>
              <w:tabs>
                <w:tab w:val="clear" w:pos="4320"/>
                <w:tab w:val="clear" w:pos="8640"/>
              </w:tabs>
              <w:jc w:val="both"/>
            </w:pPr>
            <w:r>
              <w:t>Tarleton State University;</w:t>
            </w:r>
            <w:r w:rsidR="007A797E">
              <w:t xml:space="preserve"> and</w:t>
            </w:r>
          </w:p>
          <w:p w14:paraId="7556D425" w14:textId="77777777" w:rsidR="006B452A" w:rsidRDefault="007408C7" w:rsidP="00AD2571">
            <w:pPr>
              <w:pStyle w:val="Header"/>
              <w:numPr>
                <w:ilvl w:val="1"/>
                <w:numId w:val="3"/>
              </w:numPr>
              <w:jc w:val="both"/>
            </w:pPr>
            <w:r>
              <w:t xml:space="preserve">Texas A&amp;M University at </w:t>
            </w:r>
            <w:r w:rsidRPr="001A19A5">
              <w:t>Galveston</w:t>
            </w:r>
            <w:r>
              <w:t>;</w:t>
            </w:r>
          </w:p>
          <w:p w14:paraId="278BEC2E" w14:textId="77777777" w:rsidR="000E354F" w:rsidRDefault="007408C7" w:rsidP="00AD2571">
            <w:pPr>
              <w:pStyle w:val="Header"/>
              <w:numPr>
                <w:ilvl w:val="0"/>
                <w:numId w:val="3"/>
              </w:numPr>
              <w:jc w:val="both"/>
            </w:pPr>
            <w:r>
              <w:t>in The University of Texas System:</w:t>
            </w:r>
          </w:p>
          <w:p w14:paraId="1F158D2C" w14:textId="077B7D8B" w:rsidR="006B452A" w:rsidRDefault="007408C7" w:rsidP="00AD2571">
            <w:pPr>
              <w:pStyle w:val="Header"/>
              <w:numPr>
                <w:ilvl w:val="1"/>
                <w:numId w:val="3"/>
              </w:numPr>
              <w:jc w:val="both"/>
            </w:pPr>
            <w:r>
              <w:t>The University of Texas at San Antonio;</w:t>
            </w:r>
          </w:p>
          <w:p w14:paraId="18D5A309" w14:textId="77777777" w:rsidR="006B452A" w:rsidRDefault="007408C7" w:rsidP="00AD2571">
            <w:pPr>
              <w:pStyle w:val="Header"/>
              <w:numPr>
                <w:ilvl w:val="1"/>
                <w:numId w:val="3"/>
              </w:numPr>
              <w:jc w:val="both"/>
            </w:pPr>
            <w:r>
              <w:t>The University of Texas Health Science Center at Houston;</w:t>
            </w:r>
          </w:p>
          <w:p w14:paraId="56DC3FC6" w14:textId="383518B0" w:rsidR="006B452A" w:rsidRDefault="007408C7" w:rsidP="00AD2571">
            <w:pPr>
              <w:pStyle w:val="Header"/>
              <w:numPr>
                <w:ilvl w:val="1"/>
                <w:numId w:val="3"/>
              </w:numPr>
              <w:jc w:val="both"/>
            </w:pPr>
            <w:r>
              <w:t>The University of Texas Health Science Center at San Antonio;</w:t>
            </w:r>
            <w:r w:rsidR="007A797E">
              <w:t xml:space="preserve"> and</w:t>
            </w:r>
          </w:p>
          <w:p w14:paraId="5A876EE9" w14:textId="77777777" w:rsidR="006B452A" w:rsidRDefault="007408C7" w:rsidP="00AD2571">
            <w:pPr>
              <w:pStyle w:val="Header"/>
              <w:numPr>
                <w:ilvl w:val="1"/>
                <w:numId w:val="3"/>
              </w:numPr>
              <w:jc w:val="both"/>
            </w:pPr>
            <w:r>
              <w:t>The University of Texas Southwestern Medical Center;</w:t>
            </w:r>
          </w:p>
          <w:p w14:paraId="13069676" w14:textId="77777777" w:rsidR="000E354F" w:rsidRDefault="007408C7" w:rsidP="00AD2571">
            <w:pPr>
              <w:pStyle w:val="Header"/>
              <w:numPr>
                <w:ilvl w:val="0"/>
                <w:numId w:val="3"/>
              </w:numPr>
              <w:jc w:val="both"/>
            </w:pPr>
            <w:r>
              <w:t>in the Texas State University System:</w:t>
            </w:r>
          </w:p>
          <w:p w14:paraId="18B6D4A3" w14:textId="72827D1C" w:rsidR="006B452A" w:rsidRDefault="007408C7" w:rsidP="00AD2571">
            <w:pPr>
              <w:pStyle w:val="Header"/>
              <w:numPr>
                <w:ilvl w:val="1"/>
                <w:numId w:val="3"/>
              </w:numPr>
              <w:jc w:val="both"/>
            </w:pPr>
            <w:r>
              <w:t>Lamar State College Port Arthur;</w:t>
            </w:r>
          </w:p>
          <w:p w14:paraId="39082B96" w14:textId="0D7617B6" w:rsidR="006B452A" w:rsidRDefault="007408C7" w:rsidP="00AD2571">
            <w:pPr>
              <w:pStyle w:val="Header"/>
              <w:numPr>
                <w:ilvl w:val="1"/>
                <w:numId w:val="3"/>
              </w:numPr>
              <w:jc w:val="both"/>
            </w:pPr>
            <w:r>
              <w:t>Sul Ross</w:t>
            </w:r>
            <w:r>
              <w:t xml:space="preserve"> State University;</w:t>
            </w:r>
            <w:r w:rsidR="007A797E">
              <w:t xml:space="preserve"> and</w:t>
            </w:r>
          </w:p>
          <w:p w14:paraId="097CE014" w14:textId="77777777" w:rsidR="006B452A" w:rsidRDefault="007408C7" w:rsidP="00AD2571">
            <w:pPr>
              <w:pStyle w:val="Header"/>
              <w:numPr>
                <w:ilvl w:val="1"/>
                <w:numId w:val="3"/>
              </w:numPr>
              <w:jc w:val="both"/>
            </w:pPr>
            <w:r>
              <w:t xml:space="preserve">Sul Ross State University </w:t>
            </w:r>
            <w:r w:rsidRPr="001A19A5">
              <w:t>Rio Grande College</w:t>
            </w:r>
            <w:r>
              <w:t>; and</w:t>
            </w:r>
          </w:p>
          <w:p w14:paraId="16AD16CA" w14:textId="49D02A6D" w:rsidR="006B452A" w:rsidRDefault="007408C7" w:rsidP="00AD2571">
            <w:pPr>
              <w:pStyle w:val="Header"/>
              <w:numPr>
                <w:ilvl w:val="0"/>
                <w:numId w:val="3"/>
              </w:numPr>
              <w:tabs>
                <w:tab w:val="clear" w:pos="4320"/>
                <w:tab w:val="clear" w:pos="8640"/>
              </w:tabs>
              <w:jc w:val="both"/>
            </w:pPr>
            <w:r>
              <w:t>in the Texas Tech University System, Texas Tech University Health Sciences Center at El Paso.</w:t>
            </w:r>
          </w:p>
          <w:p w14:paraId="09500DB7" w14:textId="77777777" w:rsidR="006B452A" w:rsidRDefault="006B452A" w:rsidP="00AD2571">
            <w:pPr>
              <w:pStyle w:val="Header"/>
              <w:tabs>
                <w:tab w:val="clear" w:pos="4320"/>
                <w:tab w:val="clear" w:pos="8640"/>
              </w:tabs>
              <w:jc w:val="both"/>
            </w:pPr>
          </w:p>
          <w:p w14:paraId="5F2AE026" w14:textId="77777777" w:rsidR="006B452A" w:rsidRDefault="007408C7" w:rsidP="00AD2571">
            <w:pPr>
              <w:pStyle w:val="Header"/>
              <w:tabs>
                <w:tab w:val="clear" w:pos="4320"/>
                <w:tab w:val="clear" w:pos="8640"/>
              </w:tabs>
              <w:jc w:val="both"/>
            </w:pPr>
            <w:r>
              <w:t xml:space="preserve">The substitute includes </w:t>
            </w:r>
            <w:r w:rsidRPr="00364685">
              <w:t>provisions absent in the engrossed that do the following:</w:t>
            </w:r>
          </w:p>
          <w:p w14:paraId="0AE5F444" w14:textId="77777777" w:rsidR="006B452A" w:rsidRDefault="007408C7" w:rsidP="00AD2571">
            <w:pPr>
              <w:pStyle w:val="Header"/>
              <w:numPr>
                <w:ilvl w:val="0"/>
                <w:numId w:val="4"/>
              </w:numPr>
              <w:tabs>
                <w:tab w:val="clear" w:pos="4320"/>
                <w:tab w:val="clear" w:pos="8640"/>
              </w:tabs>
              <w:jc w:val="both"/>
            </w:pPr>
            <w:r w:rsidRPr="00364685">
              <w:t>provide for the authority of each applicable board of regents to finance an alternative project for deferred maintenance or infrastructure at the same institution or entity; and</w:t>
            </w:r>
          </w:p>
          <w:p w14:paraId="32D87BBE" w14:textId="77777777" w:rsidR="006B452A" w:rsidRDefault="007408C7" w:rsidP="00AD2571">
            <w:pPr>
              <w:pStyle w:val="Header"/>
              <w:numPr>
                <w:ilvl w:val="0"/>
                <w:numId w:val="4"/>
              </w:numPr>
              <w:tabs>
                <w:tab w:val="clear" w:pos="4320"/>
                <w:tab w:val="clear" w:pos="8640"/>
              </w:tabs>
              <w:jc w:val="both"/>
            </w:pPr>
            <w:r w:rsidRPr="00364685">
              <w:t xml:space="preserve">require each board to notify the Texas Higher Education Coordinating Board of </w:t>
            </w:r>
            <w:r w:rsidRPr="00364685">
              <w:t>any such alternative project</w:t>
            </w:r>
            <w:r>
              <w:t>.</w:t>
            </w:r>
          </w:p>
          <w:p w14:paraId="360FF3DA" w14:textId="77777777" w:rsidR="006B452A" w:rsidRDefault="006B452A" w:rsidP="00AD2571">
            <w:pPr>
              <w:pStyle w:val="Header"/>
              <w:tabs>
                <w:tab w:val="clear" w:pos="4320"/>
                <w:tab w:val="clear" w:pos="8640"/>
              </w:tabs>
              <w:jc w:val="both"/>
            </w:pPr>
          </w:p>
          <w:p w14:paraId="73392E8C" w14:textId="1D0AC525" w:rsidR="006B452A" w:rsidRPr="007C03FC" w:rsidRDefault="007408C7" w:rsidP="00AD2571">
            <w:pPr>
              <w:jc w:val="both"/>
              <w:rPr>
                <w:b/>
                <w:u w:val="single"/>
              </w:rPr>
            </w:pPr>
            <w:r w:rsidRPr="005F7F86">
              <w:t>Whereas the engrossed provided for the designation of certain funds allocated from the appropriation of general revenue to an institution of higher education to supplement revenue funds as "Capital Construction Assistance Pro</w:t>
            </w:r>
            <w:r w:rsidRPr="005F7F86">
              <w:t>jects," the substitute provides for the designation of those funds as "Capital Improvement Debt Assistance."</w:t>
            </w:r>
          </w:p>
        </w:tc>
      </w:tr>
      <w:tr w:rsidR="00977881" w14:paraId="5FA591AC" w14:textId="77777777" w:rsidTr="00AD2571">
        <w:tc>
          <w:tcPr>
            <w:tcW w:w="9360" w:type="dxa"/>
          </w:tcPr>
          <w:p w14:paraId="55D4CC11" w14:textId="77777777" w:rsidR="002F50E2" w:rsidRPr="009C1E9A" w:rsidRDefault="002F50E2" w:rsidP="00AD2571">
            <w:pPr>
              <w:rPr>
                <w:b/>
                <w:u w:val="single"/>
              </w:rPr>
            </w:pPr>
          </w:p>
        </w:tc>
      </w:tr>
      <w:tr w:rsidR="00977881" w14:paraId="7087E5DE" w14:textId="77777777" w:rsidTr="00AD2571">
        <w:tc>
          <w:tcPr>
            <w:tcW w:w="9360" w:type="dxa"/>
          </w:tcPr>
          <w:p w14:paraId="19F53F3E" w14:textId="77777777" w:rsidR="007C03FC" w:rsidRPr="002F50E2" w:rsidRDefault="007C03FC" w:rsidP="00AD2571">
            <w:pPr>
              <w:jc w:val="both"/>
            </w:pPr>
          </w:p>
        </w:tc>
      </w:tr>
    </w:tbl>
    <w:p w14:paraId="49B53471" w14:textId="77777777" w:rsidR="008423E4" w:rsidRPr="00BE0E75" w:rsidRDefault="008423E4" w:rsidP="00AD2571">
      <w:pPr>
        <w:jc w:val="both"/>
        <w:rPr>
          <w:rFonts w:ascii="Arial" w:hAnsi="Arial"/>
          <w:sz w:val="16"/>
          <w:szCs w:val="16"/>
        </w:rPr>
      </w:pPr>
    </w:p>
    <w:p w14:paraId="47A9B5BB" w14:textId="77777777" w:rsidR="004108C3" w:rsidRPr="008423E4" w:rsidRDefault="004108C3" w:rsidP="00AD2571"/>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359A9" w14:textId="77777777" w:rsidR="00000000" w:rsidRDefault="007408C7">
      <w:r>
        <w:separator/>
      </w:r>
    </w:p>
  </w:endnote>
  <w:endnote w:type="continuationSeparator" w:id="0">
    <w:p w14:paraId="04601121" w14:textId="77777777" w:rsidR="00000000" w:rsidRDefault="0074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493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77881" w14:paraId="2C8A98C3" w14:textId="77777777" w:rsidTr="009C1E9A">
      <w:trPr>
        <w:cantSplit/>
      </w:trPr>
      <w:tc>
        <w:tcPr>
          <w:tcW w:w="0" w:type="pct"/>
        </w:tcPr>
        <w:p w14:paraId="4C10EF3A" w14:textId="77777777" w:rsidR="00137D90" w:rsidRDefault="00137D90" w:rsidP="009C1E9A">
          <w:pPr>
            <w:pStyle w:val="Footer"/>
            <w:tabs>
              <w:tab w:val="clear" w:pos="8640"/>
              <w:tab w:val="right" w:pos="9360"/>
            </w:tabs>
          </w:pPr>
        </w:p>
      </w:tc>
      <w:tc>
        <w:tcPr>
          <w:tcW w:w="2395" w:type="pct"/>
        </w:tcPr>
        <w:p w14:paraId="40B66494" w14:textId="77777777" w:rsidR="00137D90" w:rsidRDefault="00137D90" w:rsidP="009C1E9A">
          <w:pPr>
            <w:pStyle w:val="Footer"/>
            <w:tabs>
              <w:tab w:val="clear" w:pos="8640"/>
              <w:tab w:val="right" w:pos="9360"/>
            </w:tabs>
          </w:pPr>
        </w:p>
        <w:p w14:paraId="303D59CF" w14:textId="77777777" w:rsidR="001A4310" w:rsidRDefault="001A4310" w:rsidP="009C1E9A">
          <w:pPr>
            <w:pStyle w:val="Footer"/>
            <w:tabs>
              <w:tab w:val="clear" w:pos="8640"/>
              <w:tab w:val="right" w:pos="9360"/>
            </w:tabs>
          </w:pPr>
        </w:p>
        <w:p w14:paraId="3CAB1E16" w14:textId="77777777" w:rsidR="00137D90" w:rsidRDefault="00137D90" w:rsidP="009C1E9A">
          <w:pPr>
            <w:pStyle w:val="Footer"/>
            <w:tabs>
              <w:tab w:val="clear" w:pos="8640"/>
              <w:tab w:val="right" w:pos="9360"/>
            </w:tabs>
          </w:pPr>
        </w:p>
      </w:tc>
      <w:tc>
        <w:tcPr>
          <w:tcW w:w="2453" w:type="pct"/>
        </w:tcPr>
        <w:p w14:paraId="0BADFB33" w14:textId="77777777" w:rsidR="00137D90" w:rsidRDefault="00137D90" w:rsidP="009C1E9A">
          <w:pPr>
            <w:pStyle w:val="Footer"/>
            <w:tabs>
              <w:tab w:val="clear" w:pos="8640"/>
              <w:tab w:val="right" w:pos="9360"/>
            </w:tabs>
            <w:jc w:val="right"/>
          </w:pPr>
        </w:p>
      </w:tc>
    </w:tr>
    <w:tr w:rsidR="00977881" w14:paraId="55454FF7" w14:textId="77777777" w:rsidTr="009C1E9A">
      <w:trPr>
        <w:cantSplit/>
      </w:trPr>
      <w:tc>
        <w:tcPr>
          <w:tcW w:w="0" w:type="pct"/>
        </w:tcPr>
        <w:p w14:paraId="5C134462" w14:textId="77777777" w:rsidR="00EC379B" w:rsidRDefault="00EC379B" w:rsidP="009C1E9A">
          <w:pPr>
            <w:pStyle w:val="Footer"/>
            <w:tabs>
              <w:tab w:val="clear" w:pos="8640"/>
              <w:tab w:val="right" w:pos="9360"/>
            </w:tabs>
          </w:pPr>
        </w:p>
      </w:tc>
      <w:tc>
        <w:tcPr>
          <w:tcW w:w="2395" w:type="pct"/>
        </w:tcPr>
        <w:p w14:paraId="6A3351BE" w14:textId="18481508" w:rsidR="00EC379B" w:rsidRPr="009C1E9A" w:rsidRDefault="007408C7" w:rsidP="009C1E9A">
          <w:pPr>
            <w:pStyle w:val="Footer"/>
            <w:tabs>
              <w:tab w:val="clear" w:pos="8640"/>
              <w:tab w:val="right" w:pos="9360"/>
            </w:tabs>
            <w:rPr>
              <w:rFonts w:ascii="Shruti" w:hAnsi="Shruti"/>
              <w:sz w:val="22"/>
            </w:rPr>
          </w:pPr>
          <w:r>
            <w:rPr>
              <w:rFonts w:ascii="Shruti" w:hAnsi="Shruti"/>
              <w:sz w:val="22"/>
            </w:rPr>
            <w:t>87S3 1569</w:t>
          </w:r>
        </w:p>
      </w:tc>
      <w:tc>
        <w:tcPr>
          <w:tcW w:w="2453" w:type="pct"/>
        </w:tcPr>
        <w:p w14:paraId="4DD3E6AD" w14:textId="7C93D01E" w:rsidR="00EC379B" w:rsidRDefault="007408C7" w:rsidP="009C1E9A">
          <w:pPr>
            <w:pStyle w:val="Footer"/>
            <w:tabs>
              <w:tab w:val="clear" w:pos="8640"/>
              <w:tab w:val="right" w:pos="9360"/>
            </w:tabs>
            <w:jc w:val="right"/>
          </w:pPr>
          <w:r>
            <w:fldChar w:fldCharType="begin"/>
          </w:r>
          <w:r>
            <w:instrText xml:space="preserve"> DOCPROPERTY  OTID  \* MERGEFORMAT </w:instrText>
          </w:r>
          <w:r>
            <w:fldChar w:fldCharType="separate"/>
          </w:r>
          <w:r w:rsidR="00E72D54">
            <w:t>21.289.350</w:t>
          </w:r>
          <w:r>
            <w:fldChar w:fldCharType="end"/>
          </w:r>
        </w:p>
      </w:tc>
    </w:tr>
    <w:tr w:rsidR="00977881" w14:paraId="273504B5" w14:textId="77777777" w:rsidTr="009C1E9A">
      <w:trPr>
        <w:cantSplit/>
      </w:trPr>
      <w:tc>
        <w:tcPr>
          <w:tcW w:w="0" w:type="pct"/>
        </w:tcPr>
        <w:p w14:paraId="5F199DC1" w14:textId="77777777" w:rsidR="00EC379B" w:rsidRDefault="00EC379B" w:rsidP="009C1E9A">
          <w:pPr>
            <w:pStyle w:val="Footer"/>
            <w:tabs>
              <w:tab w:val="clear" w:pos="4320"/>
              <w:tab w:val="clear" w:pos="8640"/>
              <w:tab w:val="left" w:pos="2865"/>
            </w:tabs>
          </w:pPr>
        </w:p>
      </w:tc>
      <w:tc>
        <w:tcPr>
          <w:tcW w:w="2395" w:type="pct"/>
        </w:tcPr>
        <w:p w14:paraId="74C5EBF2" w14:textId="5D05927B"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67F9A643" w14:textId="77777777" w:rsidR="00EC379B" w:rsidRDefault="00EC379B" w:rsidP="006D504F">
          <w:pPr>
            <w:pStyle w:val="Footer"/>
            <w:rPr>
              <w:rStyle w:val="PageNumber"/>
            </w:rPr>
          </w:pPr>
        </w:p>
        <w:p w14:paraId="6F6C4236" w14:textId="77777777" w:rsidR="00EC379B" w:rsidRDefault="00EC379B" w:rsidP="009C1E9A">
          <w:pPr>
            <w:pStyle w:val="Footer"/>
            <w:tabs>
              <w:tab w:val="clear" w:pos="8640"/>
              <w:tab w:val="right" w:pos="9360"/>
            </w:tabs>
            <w:jc w:val="right"/>
          </w:pPr>
        </w:p>
      </w:tc>
    </w:tr>
    <w:tr w:rsidR="00977881" w14:paraId="570DD137" w14:textId="77777777" w:rsidTr="009C1E9A">
      <w:trPr>
        <w:cantSplit/>
        <w:trHeight w:val="323"/>
      </w:trPr>
      <w:tc>
        <w:tcPr>
          <w:tcW w:w="0" w:type="pct"/>
          <w:gridSpan w:val="3"/>
        </w:tcPr>
        <w:p w14:paraId="38026D98" w14:textId="0F100F16" w:rsidR="00EC379B" w:rsidRDefault="007408C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D2571">
            <w:rPr>
              <w:rStyle w:val="PageNumber"/>
              <w:noProof/>
            </w:rPr>
            <w:t>2</w:t>
          </w:r>
          <w:r>
            <w:rPr>
              <w:rStyle w:val="PageNumber"/>
            </w:rPr>
            <w:fldChar w:fldCharType="end"/>
          </w:r>
        </w:p>
        <w:p w14:paraId="503331E4" w14:textId="77777777" w:rsidR="00EC379B" w:rsidRDefault="00EC379B" w:rsidP="009C1E9A">
          <w:pPr>
            <w:pStyle w:val="Footer"/>
            <w:tabs>
              <w:tab w:val="clear" w:pos="8640"/>
              <w:tab w:val="right" w:pos="9360"/>
            </w:tabs>
            <w:jc w:val="center"/>
          </w:pPr>
        </w:p>
      </w:tc>
    </w:tr>
  </w:tbl>
  <w:p w14:paraId="48201F9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12E0"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E9BA6" w14:textId="77777777" w:rsidR="00000000" w:rsidRDefault="007408C7">
      <w:r>
        <w:separator/>
      </w:r>
    </w:p>
  </w:footnote>
  <w:footnote w:type="continuationSeparator" w:id="0">
    <w:p w14:paraId="3198B417" w14:textId="77777777" w:rsidR="00000000" w:rsidRDefault="0074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88D1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B465A"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70ABA"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588"/>
    <w:multiLevelType w:val="hybridMultilevel"/>
    <w:tmpl w:val="449C6E10"/>
    <w:lvl w:ilvl="0" w:tplc="3AAC229A">
      <w:start w:val="1"/>
      <w:numFmt w:val="bullet"/>
      <w:lvlText w:val=""/>
      <w:lvlJc w:val="left"/>
      <w:pPr>
        <w:tabs>
          <w:tab w:val="num" w:pos="720"/>
        </w:tabs>
        <w:ind w:left="720" w:hanging="360"/>
      </w:pPr>
      <w:rPr>
        <w:rFonts w:ascii="Symbol" w:hAnsi="Symbol" w:hint="default"/>
      </w:rPr>
    </w:lvl>
    <w:lvl w:ilvl="1" w:tplc="EB9EBF5E" w:tentative="1">
      <w:start w:val="1"/>
      <w:numFmt w:val="bullet"/>
      <w:lvlText w:val="o"/>
      <w:lvlJc w:val="left"/>
      <w:pPr>
        <w:ind w:left="1440" w:hanging="360"/>
      </w:pPr>
      <w:rPr>
        <w:rFonts w:ascii="Courier New" w:hAnsi="Courier New" w:cs="Courier New" w:hint="default"/>
      </w:rPr>
    </w:lvl>
    <w:lvl w:ilvl="2" w:tplc="327E6492" w:tentative="1">
      <w:start w:val="1"/>
      <w:numFmt w:val="bullet"/>
      <w:lvlText w:val=""/>
      <w:lvlJc w:val="left"/>
      <w:pPr>
        <w:ind w:left="2160" w:hanging="360"/>
      </w:pPr>
      <w:rPr>
        <w:rFonts w:ascii="Wingdings" w:hAnsi="Wingdings" w:hint="default"/>
      </w:rPr>
    </w:lvl>
    <w:lvl w:ilvl="3" w:tplc="D1B47F1A" w:tentative="1">
      <w:start w:val="1"/>
      <w:numFmt w:val="bullet"/>
      <w:lvlText w:val=""/>
      <w:lvlJc w:val="left"/>
      <w:pPr>
        <w:ind w:left="2880" w:hanging="360"/>
      </w:pPr>
      <w:rPr>
        <w:rFonts w:ascii="Symbol" w:hAnsi="Symbol" w:hint="default"/>
      </w:rPr>
    </w:lvl>
    <w:lvl w:ilvl="4" w:tplc="7A3CB666" w:tentative="1">
      <w:start w:val="1"/>
      <w:numFmt w:val="bullet"/>
      <w:lvlText w:val="o"/>
      <w:lvlJc w:val="left"/>
      <w:pPr>
        <w:ind w:left="3600" w:hanging="360"/>
      </w:pPr>
      <w:rPr>
        <w:rFonts w:ascii="Courier New" w:hAnsi="Courier New" w:cs="Courier New" w:hint="default"/>
      </w:rPr>
    </w:lvl>
    <w:lvl w:ilvl="5" w:tplc="E38ADBC6" w:tentative="1">
      <w:start w:val="1"/>
      <w:numFmt w:val="bullet"/>
      <w:lvlText w:val=""/>
      <w:lvlJc w:val="left"/>
      <w:pPr>
        <w:ind w:left="4320" w:hanging="360"/>
      </w:pPr>
      <w:rPr>
        <w:rFonts w:ascii="Wingdings" w:hAnsi="Wingdings" w:hint="default"/>
      </w:rPr>
    </w:lvl>
    <w:lvl w:ilvl="6" w:tplc="BC2A402E" w:tentative="1">
      <w:start w:val="1"/>
      <w:numFmt w:val="bullet"/>
      <w:lvlText w:val=""/>
      <w:lvlJc w:val="left"/>
      <w:pPr>
        <w:ind w:left="5040" w:hanging="360"/>
      </w:pPr>
      <w:rPr>
        <w:rFonts w:ascii="Symbol" w:hAnsi="Symbol" w:hint="default"/>
      </w:rPr>
    </w:lvl>
    <w:lvl w:ilvl="7" w:tplc="8B64DCEA" w:tentative="1">
      <w:start w:val="1"/>
      <w:numFmt w:val="bullet"/>
      <w:lvlText w:val="o"/>
      <w:lvlJc w:val="left"/>
      <w:pPr>
        <w:ind w:left="5760" w:hanging="360"/>
      </w:pPr>
      <w:rPr>
        <w:rFonts w:ascii="Courier New" w:hAnsi="Courier New" w:cs="Courier New" w:hint="default"/>
      </w:rPr>
    </w:lvl>
    <w:lvl w:ilvl="8" w:tplc="816A2C2E" w:tentative="1">
      <w:start w:val="1"/>
      <w:numFmt w:val="bullet"/>
      <w:lvlText w:val=""/>
      <w:lvlJc w:val="left"/>
      <w:pPr>
        <w:ind w:left="6480" w:hanging="360"/>
      </w:pPr>
      <w:rPr>
        <w:rFonts w:ascii="Wingdings" w:hAnsi="Wingdings" w:hint="default"/>
      </w:rPr>
    </w:lvl>
  </w:abstractNum>
  <w:abstractNum w:abstractNumId="1" w15:restartNumberingAfterBreak="0">
    <w:nsid w:val="223804DD"/>
    <w:multiLevelType w:val="hybridMultilevel"/>
    <w:tmpl w:val="913651CA"/>
    <w:lvl w:ilvl="0" w:tplc="FBCA1D6E">
      <w:start w:val="1"/>
      <w:numFmt w:val="bullet"/>
      <w:lvlText w:val=""/>
      <w:lvlJc w:val="left"/>
      <w:pPr>
        <w:tabs>
          <w:tab w:val="num" w:pos="720"/>
        </w:tabs>
        <w:ind w:left="720" w:hanging="360"/>
      </w:pPr>
      <w:rPr>
        <w:rFonts w:ascii="Symbol" w:hAnsi="Symbol" w:hint="default"/>
      </w:rPr>
    </w:lvl>
    <w:lvl w:ilvl="1" w:tplc="6D0A954A">
      <w:start w:val="1"/>
      <w:numFmt w:val="bullet"/>
      <w:lvlText w:val="o"/>
      <w:lvlJc w:val="left"/>
      <w:pPr>
        <w:ind w:left="1440" w:hanging="360"/>
      </w:pPr>
      <w:rPr>
        <w:rFonts w:ascii="Courier New" w:hAnsi="Courier New" w:cs="Courier New" w:hint="default"/>
      </w:rPr>
    </w:lvl>
    <w:lvl w:ilvl="2" w:tplc="D44A9B9A" w:tentative="1">
      <w:start w:val="1"/>
      <w:numFmt w:val="bullet"/>
      <w:lvlText w:val=""/>
      <w:lvlJc w:val="left"/>
      <w:pPr>
        <w:ind w:left="2160" w:hanging="360"/>
      </w:pPr>
      <w:rPr>
        <w:rFonts w:ascii="Wingdings" w:hAnsi="Wingdings" w:hint="default"/>
      </w:rPr>
    </w:lvl>
    <w:lvl w:ilvl="3" w:tplc="FAE6E3CA" w:tentative="1">
      <w:start w:val="1"/>
      <w:numFmt w:val="bullet"/>
      <w:lvlText w:val=""/>
      <w:lvlJc w:val="left"/>
      <w:pPr>
        <w:ind w:left="2880" w:hanging="360"/>
      </w:pPr>
      <w:rPr>
        <w:rFonts w:ascii="Symbol" w:hAnsi="Symbol" w:hint="default"/>
      </w:rPr>
    </w:lvl>
    <w:lvl w:ilvl="4" w:tplc="53D46C46" w:tentative="1">
      <w:start w:val="1"/>
      <w:numFmt w:val="bullet"/>
      <w:lvlText w:val="o"/>
      <w:lvlJc w:val="left"/>
      <w:pPr>
        <w:ind w:left="3600" w:hanging="360"/>
      </w:pPr>
      <w:rPr>
        <w:rFonts w:ascii="Courier New" w:hAnsi="Courier New" w:cs="Courier New" w:hint="default"/>
      </w:rPr>
    </w:lvl>
    <w:lvl w:ilvl="5" w:tplc="19368B32" w:tentative="1">
      <w:start w:val="1"/>
      <w:numFmt w:val="bullet"/>
      <w:lvlText w:val=""/>
      <w:lvlJc w:val="left"/>
      <w:pPr>
        <w:ind w:left="4320" w:hanging="360"/>
      </w:pPr>
      <w:rPr>
        <w:rFonts w:ascii="Wingdings" w:hAnsi="Wingdings" w:hint="default"/>
      </w:rPr>
    </w:lvl>
    <w:lvl w:ilvl="6" w:tplc="8AE4D066" w:tentative="1">
      <w:start w:val="1"/>
      <w:numFmt w:val="bullet"/>
      <w:lvlText w:val=""/>
      <w:lvlJc w:val="left"/>
      <w:pPr>
        <w:ind w:left="5040" w:hanging="360"/>
      </w:pPr>
      <w:rPr>
        <w:rFonts w:ascii="Symbol" w:hAnsi="Symbol" w:hint="default"/>
      </w:rPr>
    </w:lvl>
    <w:lvl w:ilvl="7" w:tplc="80D25B5E" w:tentative="1">
      <w:start w:val="1"/>
      <w:numFmt w:val="bullet"/>
      <w:lvlText w:val="o"/>
      <w:lvlJc w:val="left"/>
      <w:pPr>
        <w:ind w:left="5760" w:hanging="360"/>
      </w:pPr>
      <w:rPr>
        <w:rFonts w:ascii="Courier New" w:hAnsi="Courier New" w:cs="Courier New" w:hint="default"/>
      </w:rPr>
    </w:lvl>
    <w:lvl w:ilvl="8" w:tplc="B8DA1586" w:tentative="1">
      <w:start w:val="1"/>
      <w:numFmt w:val="bullet"/>
      <w:lvlText w:val=""/>
      <w:lvlJc w:val="left"/>
      <w:pPr>
        <w:ind w:left="6480" w:hanging="360"/>
      </w:pPr>
      <w:rPr>
        <w:rFonts w:ascii="Wingdings" w:hAnsi="Wingdings" w:hint="default"/>
      </w:rPr>
    </w:lvl>
  </w:abstractNum>
  <w:abstractNum w:abstractNumId="2" w15:restartNumberingAfterBreak="0">
    <w:nsid w:val="31F52EB6"/>
    <w:multiLevelType w:val="hybridMultilevel"/>
    <w:tmpl w:val="9708A17A"/>
    <w:lvl w:ilvl="0" w:tplc="398C36D4">
      <w:start w:val="1"/>
      <w:numFmt w:val="bullet"/>
      <w:lvlText w:val=""/>
      <w:lvlJc w:val="left"/>
      <w:pPr>
        <w:tabs>
          <w:tab w:val="num" w:pos="720"/>
        </w:tabs>
        <w:ind w:left="720" w:hanging="360"/>
      </w:pPr>
      <w:rPr>
        <w:rFonts w:ascii="Symbol" w:hAnsi="Symbol" w:hint="default"/>
      </w:rPr>
    </w:lvl>
    <w:lvl w:ilvl="1" w:tplc="CC127CA0" w:tentative="1">
      <w:start w:val="1"/>
      <w:numFmt w:val="bullet"/>
      <w:lvlText w:val="o"/>
      <w:lvlJc w:val="left"/>
      <w:pPr>
        <w:ind w:left="1440" w:hanging="360"/>
      </w:pPr>
      <w:rPr>
        <w:rFonts w:ascii="Courier New" w:hAnsi="Courier New" w:cs="Courier New" w:hint="default"/>
      </w:rPr>
    </w:lvl>
    <w:lvl w:ilvl="2" w:tplc="86D04732" w:tentative="1">
      <w:start w:val="1"/>
      <w:numFmt w:val="bullet"/>
      <w:lvlText w:val=""/>
      <w:lvlJc w:val="left"/>
      <w:pPr>
        <w:ind w:left="2160" w:hanging="360"/>
      </w:pPr>
      <w:rPr>
        <w:rFonts w:ascii="Wingdings" w:hAnsi="Wingdings" w:hint="default"/>
      </w:rPr>
    </w:lvl>
    <w:lvl w:ilvl="3" w:tplc="CEC4AA92" w:tentative="1">
      <w:start w:val="1"/>
      <w:numFmt w:val="bullet"/>
      <w:lvlText w:val=""/>
      <w:lvlJc w:val="left"/>
      <w:pPr>
        <w:ind w:left="2880" w:hanging="360"/>
      </w:pPr>
      <w:rPr>
        <w:rFonts w:ascii="Symbol" w:hAnsi="Symbol" w:hint="default"/>
      </w:rPr>
    </w:lvl>
    <w:lvl w:ilvl="4" w:tplc="22E2B886" w:tentative="1">
      <w:start w:val="1"/>
      <w:numFmt w:val="bullet"/>
      <w:lvlText w:val="o"/>
      <w:lvlJc w:val="left"/>
      <w:pPr>
        <w:ind w:left="3600" w:hanging="360"/>
      </w:pPr>
      <w:rPr>
        <w:rFonts w:ascii="Courier New" w:hAnsi="Courier New" w:cs="Courier New" w:hint="default"/>
      </w:rPr>
    </w:lvl>
    <w:lvl w:ilvl="5" w:tplc="97787D6C" w:tentative="1">
      <w:start w:val="1"/>
      <w:numFmt w:val="bullet"/>
      <w:lvlText w:val=""/>
      <w:lvlJc w:val="left"/>
      <w:pPr>
        <w:ind w:left="4320" w:hanging="360"/>
      </w:pPr>
      <w:rPr>
        <w:rFonts w:ascii="Wingdings" w:hAnsi="Wingdings" w:hint="default"/>
      </w:rPr>
    </w:lvl>
    <w:lvl w:ilvl="6" w:tplc="FD322724" w:tentative="1">
      <w:start w:val="1"/>
      <w:numFmt w:val="bullet"/>
      <w:lvlText w:val=""/>
      <w:lvlJc w:val="left"/>
      <w:pPr>
        <w:ind w:left="5040" w:hanging="360"/>
      </w:pPr>
      <w:rPr>
        <w:rFonts w:ascii="Symbol" w:hAnsi="Symbol" w:hint="default"/>
      </w:rPr>
    </w:lvl>
    <w:lvl w:ilvl="7" w:tplc="FF0C0C82" w:tentative="1">
      <w:start w:val="1"/>
      <w:numFmt w:val="bullet"/>
      <w:lvlText w:val="o"/>
      <w:lvlJc w:val="left"/>
      <w:pPr>
        <w:ind w:left="5760" w:hanging="360"/>
      </w:pPr>
      <w:rPr>
        <w:rFonts w:ascii="Courier New" w:hAnsi="Courier New" w:cs="Courier New" w:hint="default"/>
      </w:rPr>
    </w:lvl>
    <w:lvl w:ilvl="8" w:tplc="226A9034" w:tentative="1">
      <w:start w:val="1"/>
      <w:numFmt w:val="bullet"/>
      <w:lvlText w:val=""/>
      <w:lvlJc w:val="left"/>
      <w:pPr>
        <w:ind w:left="6480" w:hanging="360"/>
      </w:pPr>
      <w:rPr>
        <w:rFonts w:ascii="Wingdings" w:hAnsi="Wingdings" w:hint="default"/>
      </w:rPr>
    </w:lvl>
  </w:abstractNum>
  <w:abstractNum w:abstractNumId="3" w15:restartNumberingAfterBreak="0">
    <w:nsid w:val="68182E73"/>
    <w:multiLevelType w:val="hybridMultilevel"/>
    <w:tmpl w:val="4CDE6532"/>
    <w:lvl w:ilvl="0" w:tplc="88186AA0">
      <w:start w:val="1"/>
      <w:numFmt w:val="bullet"/>
      <w:lvlText w:val=""/>
      <w:lvlJc w:val="left"/>
      <w:pPr>
        <w:tabs>
          <w:tab w:val="num" w:pos="720"/>
        </w:tabs>
        <w:ind w:left="720" w:hanging="360"/>
      </w:pPr>
      <w:rPr>
        <w:rFonts w:ascii="Symbol" w:hAnsi="Symbol" w:hint="default"/>
      </w:rPr>
    </w:lvl>
    <w:lvl w:ilvl="1" w:tplc="D80C057A" w:tentative="1">
      <w:start w:val="1"/>
      <w:numFmt w:val="bullet"/>
      <w:lvlText w:val="o"/>
      <w:lvlJc w:val="left"/>
      <w:pPr>
        <w:ind w:left="1440" w:hanging="360"/>
      </w:pPr>
      <w:rPr>
        <w:rFonts w:ascii="Courier New" w:hAnsi="Courier New" w:cs="Courier New" w:hint="default"/>
      </w:rPr>
    </w:lvl>
    <w:lvl w:ilvl="2" w:tplc="5E2C311A" w:tentative="1">
      <w:start w:val="1"/>
      <w:numFmt w:val="bullet"/>
      <w:lvlText w:val=""/>
      <w:lvlJc w:val="left"/>
      <w:pPr>
        <w:ind w:left="2160" w:hanging="360"/>
      </w:pPr>
      <w:rPr>
        <w:rFonts w:ascii="Wingdings" w:hAnsi="Wingdings" w:hint="default"/>
      </w:rPr>
    </w:lvl>
    <w:lvl w:ilvl="3" w:tplc="1398FE16" w:tentative="1">
      <w:start w:val="1"/>
      <w:numFmt w:val="bullet"/>
      <w:lvlText w:val=""/>
      <w:lvlJc w:val="left"/>
      <w:pPr>
        <w:ind w:left="2880" w:hanging="360"/>
      </w:pPr>
      <w:rPr>
        <w:rFonts w:ascii="Symbol" w:hAnsi="Symbol" w:hint="default"/>
      </w:rPr>
    </w:lvl>
    <w:lvl w:ilvl="4" w:tplc="2228C87E" w:tentative="1">
      <w:start w:val="1"/>
      <w:numFmt w:val="bullet"/>
      <w:lvlText w:val="o"/>
      <w:lvlJc w:val="left"/>
      <w:pPr>
        <w:ind w:left="3600" w:hanging="360"/>
      </w:pPr>
      <w:rPr>
        <w:rFonts w:ascii="Courier New" w:hAnsi="Courier New" w:cs="Courier New" w:hint="default"/>
      </w:rPr>
    </w:lvl>
    <w:lvl w:ilvl="5" w:tplc="19148E3E" w:tentative="1">
      <w:start w:val="1"/>
      <w:numFmt w:val="bullet"/>
      <w:lvlText w:val=""/>
      <w:lvlJc w:val="left"/>
      <w:pPr>
        <w:ind w:left="4320" w:hanging="360"/>
      </w:pPr>
      <w:rPr>
        <w:rFonts w:ascii="Wingdings" w:hAnsi="Wingdings" w:hint="default"/>
      </w:rPr>
    </w:lvl>
    <w:lvl w:ilvl="6" w:tplc="7A14BB66" w:tentative="1">
      <w:start w:val="1"/>
      <w:numFmt w:val="bullet"/>
      <w:lvlText w:val=""/>
      <w:lvlJc w:val="left"/>
      <w:pPr>
        <w:ind w:left="5040" w:hanging="360"/>
      </w:pPr>
      <w:rPr>
        <w:rFonts w:ascii="Symbol" w:hAnsi="Symbol" w:hint="default"/>
      </w:rPr>
    </w:lvl>
    <w:lvl w:ilvl="7" w:tplc="B2F62BA6" w:tentative="1">
      <w:start w:val="1"/>
      <w:numFmt w:val="bullet"/>
      <w:lvlText w:val="o"/>
      <w:lvlJc w:val="left"/>
      <w:pPr>
        <w:ind w:left="5760" w:hanging="360"/>
      </w:pPr>
      <w:rPr>
        <w:rFonts w:ascii="Courier New" w:hAnsi="Courier New" w:cs="Courier New" w:hint="default"/>
      </w:rPr>
    </w:lvl>
    <w:lvl w:ilvl="8" w:tplc="D5827FE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E9"/>
    <w:rsid w:val="00000A70"/>
    <w:rsid w:val="000032B8"/>
    <w:rsid w:val="00003B06"/>
    <w:rsid w:val="000054B9"/>
    <w:rsid w:val="00007461"/>
    <w:rsid w:val="00007A5E"/>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47B33"/>
    <w:rsid w:val="000532BD"/>
    <w:rsid w:val="00055C12"/>
    <w:rsid w:val="000608B0"/>
    <w:rsid w:val="0006104C"/>
    <w:rsid w:val="00064BF2"/>
    <w:rsid w:val="000667BA"/>
    <w:rsid w:val="000676A7"/>
    <w:rsid w:val="00073914"/>
    <w:rsid w:val="00074236"/>
    <w:rsid w:val="000746BD"/>
    <w:rsid w:val="00076D7D"/>
    <w:rsid w:val="00080D95"/>
    <w:rsid w:val="00086C08"/>
    <w:rsid w:val="00090E6B"/>
    <w:rsid w:val="00091B2C"/>
    <w:rsid w:val="00092ABC"/>
    <w:rsid w:val="00094A44"/>
    <w:rsid w:val="00095D19"/>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AEF"/>
    <w:rsid w:val="000D769C"/>
    <w:rsid w:val="000E1976"/>
    <w:rsid w:val="000E20F1"/>
    <w:rsid w:val="000E354F"/>
    <w:rsid w:val="000E5B20"/>
    <w:rsid w:val="000E78B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505A"/>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19A5"/>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1D52"/>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8DA"/>
    <w:rsid w:val="00250A50"/>
    <w:rsid w:val="00251ED5"/>
    <w:rsid w:val="00255EB6"/>
    <w:rsid w:val="00257429"/>
    <w:rsid w:val="0026077A"/>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97C26"/>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C6F12"/>
    <w:rsid w:val="002D05CC"/>
    <w:rsid w:val="002D305A"/>
    <w:rsid w:val="002E21B8"/>
    <w:rsid w:val="002E7DF9"/>
    <w:rsid w:val="002F097B"/>
    <w:rsid w:val="002F1202"/>
    <w:rsid w:val="002F3111"/>
    <w:rsid w:val="002F4AEC"/>
    <w:rsid w:val="002F50E2"/>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96"/>
    <w:rsid w:val="00357CA1"/>
    <w:rsid w:val="00361FE9"/>
    <w:rsid w:val="003624F2"/>
    <w:rsid w:val="00363854"/>
    <w:rsid w:val="00364315"/>
    <w:rsid w:val="003643E2"/>
    <w:rsid w:val="00364685"/>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C6968"/>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1184"/>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40BD"/>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45F"/>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954"/>
    <w:rsid w:val="004E5D4F"/>
    <w:rsid w:val="004E5DEA"/>
    <w:rsid w:val="004E6639"/>
    <w:rsid w:val="004E6BAE"/>
    <w:rsid w:val="004F14F0"/>
    <w:rsid w:val="004F32AD"/>
    <w:rsid w:val="004F57CB"/>
    <w:rsid w:val="004F64F6"/>
    <w:rsid w:val="004F69C0"/>
    <w:rsid w:val="00500121"/>
    <w:rsid w:val="005017AC"/>
    <w:rsid w:val="00501E8A"/>
    <w:rsid w:val="00505121"/>
    <w:rsid w:val="00505C04"/>
    <w:rsid w:val="00505F1B"/>
    <w:rsid w:val="005073E8"/>
    <w:rsid w:val="00510503"/>
    <w:rsid w:val="0051324D"/>
    <w:rsid w:val="00514E13"/>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5FD2"/>
    <w:rsid w:val="005D767D"/>
    <w:rsid w:val="005D7A30"/>
    <w:rsid w:val="005D7D3B"/>
    <w:rsid w:val="005E1999"/>
    <w:rsid w:val="005E232C"/>
    <w:rsid w:val="005E2B83"/>
    <w:rsid w:val="005E4AEB"/>
    <w:rsid w:val="005E738F"/>
    <w:rsid w:val="005E788B"/>
    <w:rsid w:val="005F1519"/>
    <w:rsid w:val="005F3F9E"/>
    <w:rsid w:val="005F4862"/>
    <w:rsid w:val="005F5679"/>
    <w:rsid w:val="005F5FDF"/>
    <w:rsid w:val="005F6960"/>
    <w:rsid w:val="005F7000"/>
    <w:rsid w:val="005F7AAA"/>
    <w:rsid w:val="005F7F86"/>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45C21"/>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452A"/>
    <w:rsid w:val="006B54C5"/>
    <w:rsid w:val="006B5E80"/>
    <w:rsid w:val="006B7A2E"/>
    <w:rsid w:val="006C4709"/>
    <w:rsid w:val="006D3005"/>
    <w:rsid w:val="006D504F"/>
    <w:rsid w:val="006E0CAC"/>
    <w:rsid w:val="006E1CFB"/>
    <w:rsid w:val="006E1F94"/>
    <w:rsid w:val="006E26C1"/>
    <w:rsid w:val="006E30A8"/>
    <w:rsid w:val="006E45B0"/>
    <w:rsid w:val="006E5692"/>
    <w:rsid w:val="006E7D5A"/>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8C7"/>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6E6A"/>
    <w:rsid w:val="00777518"/>
    <w:rsid w:val="0077779E"/>
    <w:rsid w:val="00780FB6"/>
    <w:rsid w:val="0078552A"/>
    <w:rsid w:val="00785729"/>
    <w:rsid w:val="00786058"/>
    <w:rsid w:val="0079487D"/>
    <w:rsid w:val="007966D4"/>
    <w:rsid w:val="00796A0A"/>
    <w:rsid w:val="0079792C"/>
    <w:rsid w:val="007A0989"/>
    <w:rsid w:val="007A283A"/>
    <w:rsid w:val="007A331F"/>
    <w:rsid w:val="007A3844"/>
    <w:rsid w:val="007A4381"/>
    <w:rsid w:val="007A5466"/>
    <w:rsid w:val="007A797E"/>
    <w:rsid w:val="007A7EC1"/>
    <w:rsid w:val="007B4FCA"/>
    <w:rsid w:val="007B7B85"/>
    <w:rsid w:val="007C03FC"/>
    <w:rsid w:val="007C2E24"/>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500"/>
    <w:rsid w:val="0086477C"/>
    <w:rsid w:val="00864BAD"/>
    <w:rsid w:val="00866F9D"/>
    <w:rsid w:val="008673D9"/>
    <w:rsid w:val="00871775"/>
    <w:rsid w:val="00871AEF"/>
    <w:rsid w:val="00871F8C"/>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6DB1"/>
    <w:rsid w:val="00930897"/>
    <w:rsid w:val="009320D2"/>
    <w:rsid w:val="00932C77"/>
    <w:rsid w:val="0093417F"/>
    <w:rsid w:val="00934AC2"/>
    <w:rsid w:val="009375BB"/>
    <w:rsid w:val="009418E9"/>
    <w:rsid w:val="00946044"/>
    <w:rsid w:val="009465AB"/>
    <w:rsid w:val="00946DEE"/>
    <w:rsid w:val="00953499"/>
    <w:rsid w:val="00954A16"/>
    <w:rsid w:val="00955133"/>
    <w:rsid w:val="0095696D"/>
    <w:rsid w:val="00963192"/>
    <w:rsid w:val="0096482F"/>
    <w:rsid w:val="00964E3A"/>
    <w:rsid w:val="00967126"/>
    <w:rsid w:val="00967FA3"/>
    <w:rsid w:val="00970EAE"/>
    <w:rsid w:val="00971627"/>
    <w:rsid w:val="00972797"/>
    <w:rsid w:val="0097279D"/>
    <w:rsid w:val="00976837"/>
    <w:rsid w:val="00977881"/>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B9"/>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0B6F"/>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09A"/>
    <w:rsid w:val="00A24AAD"/>
    <w:rsid w:val="00A26A8A"/>
    <w:rsid w:val="00A27255"/>
    <w:rsid w:val="00A32304"/>
    <w:rsid w:val="00A32D12"/>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4B42"/>
    <w:rsid w:val="00A932BB"/>
    <w:rsid w:val="00A93579"/>
    <w:rsid w:val="00A93934"/>
    <w:rsid w:val="00A95D51"/>
    <w:rsid w:val="00AA18AE"/>
    <w:rsid w:val="00AA228B"/>
    <w:rsid w:val="00AA3365"/>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2571"/>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17C37"/>
    <w:rsid w:val="00B233BB"/>
    <w:rsid w:val="00B25612"/>
    <w:rsid w:val="00B26437"/>
    <w:rsid w:val="00B2678E"/>
    <w:rsid w:val="00B27363"/>
    <w:rsid w:val="00B30647"/>
    <w:rsid w:val="00B31F0E"/>
    <w:rsid w:val="00B348FA"/>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087"/>
    <w:rsid w:val="00B73B52"/>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32F0"/>
    <w:rsid w:val="00BF4949"/>
    <w:rsid w:val="00BF4D7C"/>
    <w:rsid w:val="00BF5085"/>
    <w:rsid w:val="00C013F4"/>
    <w:rsid w:val="00C040AB"/>
    <w:rsid w:val="00C0499B"/>
    <w:rsid w:val="00C05406"/>
    <w:rsid w:val="00C05CF0"/>
    <w:rsid w:val="00C119AC"/>
    <w:rsid w:val="00C11BD2"/>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5322"/>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181E"/>
    <w:rsid w:val="00CA2182"/>
    <w:rsid w:val="00CA2186"/>
    <w:rsid w:val="00CA26EF"/>
    <w:rsid w:val="00CA3608"/>
    <w:rsid w:val="00CA4CA0"/>
    <w:rsid w:val="00CA5E5E"/>
    <w:rsid w:val="00CA7D7B"/>
    <w:rsid w:val="00CB0131"/>
    <w:rsid w:val="00CB0AE4"/>
    <w:rsid w:val="00CB0C21"/>
    <w:rsid w:val="00CB0D1A"/>
    <w:rsid w:val="00CB337A"/>
    <w:rsid w:val="00CB3627"/>
    <w:rsid w:val="00CB4B4B"/>
    <w:rsid w:val="00CB4B73"/>
    <w:rsid w:val="00CB74CB"/>
    <w:rsid w:val="00CB7E04"/>
    <w:rsid w:val="00CC24B7"/>
    <w:rsid w:val="00CC6603"/>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442"/>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5273"/>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3200"/>
    <w:rsid w:val="00DB53C6"/>
    <w:rsid w:val="00DB59E3"/>
    <w:rsid w:val="00DB6CB6"/>
    <w:rsid w:val="00DB758F"/>
    <w:rsid w:val="00DC1F1B"/>
    <w:rsid w:val="00DC3D8F"/>
    <w:rsid w:val="00DC42E8"/>
    <w:rsid w:val="00DC6DBB"/>
    <w:rsid w:val="00DC7761"/>
    <w:rsid w:val="00DD0022"/>
    <w:rsid w:val="00DD073C"/>
    <w:rsid w:val="00DD128C"/>
    <w:rsid w:val="00DD1B8F"/>
    <w:rsid w:val="00DD279C"/>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2BE9"/>
    <w:rsid w:val="00E634DC"/>
    <w:rsid w:val="00E667F3"/>
    <w:rsid w:val="00E67794"/>
    <w:rsid w:val="00E70CC6"/>
    <w:rsid w:val="00E71254"/>
    <w:rsid w:val="00E72D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4CB"/>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3390"/>
    <w:rsid w:val="00FE19C5"/>
    <w:rsid w:val="00FE4286"/>
    <w:rsid w:val="00FE48C3"/>
    <w:rsid w:val="00FE5909"/>
    <w:rsid w:val="00FE652E"/>
    <w:rsid w:val="00FE71FE"/>
    <w:rsid w:val="00FF0A28"/>
    <w:rsid w:val="00FF0B8B"/>
    <w:rsid w:val="00FF0E93"/>
    <w:rsid w:val="00FF13C3"/>
    <w:rsid w:val="00FF34C8"/>
    <w:rsid w:val="00FF4341"/>
    <w:rsid w:val="00FF517B"/>
    <w:rsid w:val="00FF5BEA"/>
    <w:rsid w:val="00FF668A"/>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FA5B0-52AA-404D-898E-3A970006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11BD2"/>
    <w:rPr>
      <w:sz w:val="16"/>
      <w:szCs w:val="16"/>
    </w:rPr>
  </w:style>
  <w:style w:type="paragraph" w:styleId="CommentText">
    <w:name w:val="annotation text"/>
    <w:basedOn w:val="Normal"/>
    <w:link w:val="CommentTextChar"/>
    <w:semiHidden/>
    <w:unhideWhenUsed/>
    <w:rsid w:val="00C11BD2"/>
    <w:rPr>
      <w:sz w:val="20"/>
      <w:szCs w:val="20"/>
    </w:rPr>
  </w:style>
  <w:style w:type="character" w:customStyle="1" w:styleId="CommentTextChar">
    <w:name w:val="Comment Text Char"/>
    <w:basedOn w:val="DefaultParagraphFont"/>
    <w:link w:val="CommentText"/>
    <w:semiHidden/>
    <w:rsid w:val="00C11BD2"/>
  </w:style>
  <w:style w:type="paragraph" w:styleId="CommentSubject">
    <w:name w:val="annotation subject"/>
    <w:basedOn w:val="CommentText"/>
    <w:next w:val="CommentText"/>
    <w:link w:val="CommentSubjectChar"/>
    <w:semiHidden/>
    <w:unhideWhenUsed/>
    <w:rsid w:val="00C11BD2"/>
    <w:rPr>
      <w:b/>
      <w:bCs/>
    </w:rPr>
  </w:style>
  <w:style w:type="character" w:customStyle="1" w:styleId="CommentSubjectChar">
    <w:name w:val="Comment Subject Char"/>
    <w:basedOn w:val="CommentTextChar"/>
    <w:link w:val="CommentSubject"/>
    <w:semiHidden/>
    <w:rsid w:val="00C11BD2"/>
    <w:rPr>
      <w:b/>
      <w:bCs/>
    </w:rPr>
  </w:style>
  <w:style w:type="character" w:styleId="Hyperlink">
    <w:name w:val="Hyperlink"/>
    <w:basedOn w:val="DefaultParagraphFont"/>
    <w:unhideWhenUsed/>
    <w:rsid w:val="00C11BD2"/>
    <w:rPr>
      <w:color w:val="0000FF" w:themeColor="hyperlink"/>
      <w:u w:val="single"/>
    </w:rPr>
  </w:style>
  <w:style w:type="character" w:styleId="FollowedHyperlink">
    <w:name w:val="FollowedHyperlink"/>
    <w:basedOn w:val="DefaultParagraphFont"/>
    <w:semiHidden/>
    <w:unhideWhenUsed/>
    <w:rsid w:val="00250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4299</Characters>
  <Application>Microsoft Office Word</Application>
  <DocSecurity>4</DocSecurity>
  <Lines>110</Lines>
  <Paragraphs>52</Paragraphs>
  <ScaleCrop>false</ScaleCrop>
  <HeadingPairs>
    <vt:vector size="2" baseType="variant">
      <vt:variant>
        <vt:lpstr>Title</vt:lpstr>
      </vt:variant>
      <vt:variant>
        <vt:i4>1</vt:i4>
      </vt:variant>
    </vt:vector>
  </HeadingPairs>
  <TitlesOfParts>
    <vt:vector size="1" baseType="lpstr">
      <vt:lpstr>BA - SB00052 (Committee Report (Substituted))</vt:lpstr>
    </vt:vector>
  </TitlesOfParts>
  <Company>State of Texas</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87S3 1569</dc:subject>
  <dc:creator>State of Texas</dc:creator>
  <dc:description>SB 52 by Creighton-(H)Appropriations</dc:description>
  <cp:lastModifiedBy>Damian Duarte</cp:lastModifiedBy>
  <cp:revision>2</cp:revision>
  <cp:lastPrinted>2003-11-26T17:21:00Z</cp:lastPrinted>
  <dcterms:created xsi:type="dcterms:W3CDTF">2021-10-16T23:49:00Z</dcterms:created>
  <dcterms:modified xsi:type="dcterms:W3CDTF">2021-10-16T23:49:00Z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21.289.350</vt:lpwstr>
  </property>
</Properties>
</file>