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demand response technology to reduce energy consumption in state-owned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2166, Government Code, is amended by adding Section 2166.4021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2166.4021.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DEMAND RESPONSE TECHNOLOGY FOR STATE BUILDINGS.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by rule shall adopt guidelines for the required use of demand response technology in state-owned buildings, including buildings otherwise exempt from this chapter under Section 2166.003, to reduce energy consumption for the buildings in response to energy supply constraints.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guidelines adopted under Subsection (a) must require the remote reduction of building energy consumption by at least 30 percent during: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weather or energy emergencies;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peak demand days as determined by the independent  organization certified under Section 39.151, Utilities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Facilities Commission shall adopt the guidelines required by Section 2166.4021, </w:t>
      </w:r>
      <w:r>
        <w:t xml:space="preserve">Government Code, as added by this Act, not later than February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