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protecting the medical freedom and bodily autonomy of employees with respect to immunization or vaccination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emergence of the COVID-19 pandemic and corresponding vaccines utilizing new mRNA technology has brought the question of personal bodily autonomy to the forefront of our national and state dialogue;</w:t>
      </w:r>
    </w:p>
    <w:p w:rsidR="003F3435" w:rsidRDefault="0032493E">
      <w:pPr>
        <w:spacing w:line="480" w:lineRule="auto"/>
        <w:ind w:firstLine="1440"/>
        <w:jc w:val="both"/>
      </w:pPr>
      <w:r>
        <w:t xml:space="preserve">(2)</w:t>
      </w:r>
      <w:r xml:space="preserve">
        <w:t> </w:t>
      </w:r>
      <w:r xml:space="preserve">
        <w:t> </w:t>
      </w:r>
      <w:r>
        <w:t xml:space="preserve">the recently implemented COVID-19 passport protections extend only to patrons of businesses and not employees;</w:t>
      </w:r>
    </w:p>
    <w:p w:rsidR="003F3435" w:rsidRDefault="0032493E">
      <w:pPr>
        <w:spacing w:line="480" w:lineRule="auto"/>
        <w:ind w:firstLine="1440"/>
        <w:jc w:val="both"/>
      </w:pPr>
      <w:r>
        <w:t xml:space="preserve">(3)</w:t>
      </w:r>
      <w:r xml:space="preserve">
        <w:t> </w:t>
      </w:r>
      <w:r xml:space="preserve">
        <w:t> </w:t>
      </w:r>
      <w:r>
        <w:t xml:space="preserve">the arguments in defense of customers' right-of-access to establishments, goods, and services accompanied by a freedom to move about unhindered may also be applied to protecting an individual from being made to choose between continued employment or taking a vaccine which gives them concerns due to medical reasons or reasons of conscience;</w:t>
      </w:r>
    </w:p>
    <w:p w:rsidR="003F3435" w:rsidRDefault="0032493E">
      <w:pPr>
        <w:spacing w:line="480" w:lineRule="auto"/>
        <w:ind w:firstLine="1440"/>
        <w:jc w:val="both"/>
      </w:pPr>
      <w:r>
        <w:t xml:space="preserve">(4)</w:t>
      </w:r>
      <w:r xml:space="preserve">
        <w:t> </w:t>
      </w:r>
      <w:r xml:space="preserve">
        <w:t> </w:t>
      </w:r>
      <w:r>
        <w:t xml:space="preserve">a primary role of our government is to protect individual liberties, among which medical freedom and bodily autonomy are certainly numbered;</w:t>
      </w:r>
    </w:p>
    <w:p w:rsidR="003F3435" w:rsidRDefault="0032493E">
      <w:pPr>
        <w:spacing w:line="480" w:lineRule="auto"/>
        <w:ind w:firstLine="1440"/>
        <w:jc w:val="both"/>
      </w:pPr>
      <w:r>
        <w:t xml:space="preserve">(5)</w:t>
      </w:r>
      <w:r xml:space="preserve">
        <w:t> </w:t>
      </w:r>
      <w:r xml:space="preserve">
        <w:t> </w:t>
      </w:r>
      <w:r>
        <w:t xml:space="preserve">employers are not otherwise prevented in Texas statute from implementing safety precautions for their employees and customers apart from immunizations or vaccinations;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IMMUNIZATION OR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PROHIBITED DISCRIMINATION BASED ON IMMUNIZATION OR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an immunization or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an immunization or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an immunization or vaccine.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Chapter 224, Health and Safety Code; and</w:t>
      </w:r>
    </w:p>
    <w:p w:rsidR="003F3435" w:rsidRDefault="0032493E">
      <w:pPr>
        <w:spacing w:line="480" w:lineRule="auto"/>
        <w:ind w:firstLine="1440"/>
        <w:jc w:val="both"/>
      </w:pPr>
      <w:r>
        <w:t xml:space="preserve">(2)</w:t>
      </w:r>
      <w:r xml:space="preserve">
        <w:t> </w:t>
      </w:r>
      <w:r xml:space="preserve">
        <w:t> </w:t>
      </w:r>
      <w:r>
        <w:t xml:space="preserve">Section 42.04305,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