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vacancy in the office of a legislator due to an absence without official leave.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301, Government Code, is amended by adding Section 301.074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301.074.</w:t>
      </w:r>
      <w:r>
        <w:rPr>
          <w:u w:val="single"/>
        </w:rPr>
        <w:t xml:space="preserve"> </w:t>
      </w:r>
      <w:r>
        <w:rPr>
          <w:u w:val="single"/>
        </w:rPr>
        <w:t xml:space="preserve"> </w:t>
      </w:r>
      <w:r>
        <w:rPr>
          <w:u w:val="single"/>
        </w:rPr>
        <w:t xml:space="preserve">VACANCY DUE TO EXCESSIVE ABSENCE.  A member of the legislature vacates the member's office if the member is absent from all proceedings of the house of the legislature of which the person is a member, without a leave of absence granted by that house, for seven consecutive days on which that house meets.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301.074, Government Code, as added by this Act, applies only to an absence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