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Klick, Hefner, Morrison, Noble,</w:t>
      </w:r>
      <w:r xml:space="preserve">
        <w:tab wTab="150" tlc="none" cTlc="0"/>
      </w:r>
      <w:r>
        <w:t xml:space="preserve">H.B.</w:t>
      </w:r>
      <w:r xml:space="preserve">
        <w:t> </w:t>
      </w:r>
      <w:r>
        <w:t xml:space="preserve">No.</w:t>
      </w:r>
      <w:r xml:space="preserve">
        <w:t> </w:t>
      </w:r>
      <w:r>
        <w:t xml:space="preserve">25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 students to compete in interscholastic athletic competitions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historically, boys participate in interscholastic athletics at a higher rate than girls, and a noticeable disparity continues between the athletic participation rates of students who are girls and students who are boys in University Interscholastic League member schools;</w:t>
      </w:r>
    </w:p>
    <w:p w:rsidR="003F3435" w:rsidRDefault="0032493E">
      <w:pPr>
        <w:spacing w:line="480" w:lineRule="auto"/>
        <w:ind w:firstLine="1440"/>
        <w:jc w:val="both"/>
      </w:pPr>
      <w:r>
        <w:t xml:space="preserve">(2)</w:t>
      </w:r>
      <w:r xml:space="preserve">
        <w:t> </w:t>
      </w:r>
      <w:r xml:space="preserve">
        <w:t> </w:t>
      </w:r>
      <w:r>
        <w:t xml:space="preserve">courts have recognized a legitimate and important governmental interest in redressing past discrimination against girls in athletics on the basis of sex and promoting equality of athletic opportunity between the sexes under Title IX of the Education Amendments of 1972 (20 U.S.C. Section 1681 et seq.), a federal civil rights statute; and</w:t>
      </w:r>
    </w:p>
    <w:p w:rsidR="003F3435" w:rsidRDefault="0032493E">
      <w:pPr>
        <w:spacing w:line="480" w:lineRule="auto"/>
        <w:ind w:firstLine="1440"/>
        <w:jc w:val="both"/>
      </w:pPr>
      <w:r>
        <w:t xml:space="preserve">(3)</w:t>
      </w:r>
      <w:r xml:space="preserve">
        <w:t> </w:t>
      </w:r>
      <w:r xml:space="preserve">
        <w:t> </w:t>
      </w:r>
      <w:r>
        <w:t xml:space="preserve">courts have recognized that classification by sex is the only feasible classification to promote the governmental interest of providing for interscholastic athletic opportunities for girls.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purpose of this Act is to further the governmental interest of ensuring that sufficient interscholastic athletic opportunities remain available for girls to remedy past discrimination on the basis of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33, Education Code, is amended by adding Section 33.0834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33.0834.</w:t>
      </w:r>
      <w:r>
        <w:rPr>
          <w:u w:val="single"/>
        </w:rPr>
        <w:t xml:space="preserve"> </w:t>
      </w:r>
      <w:r>
        <w:rPr>
          <w:u w:val="single"/>
        </w:rPr>
        <w:t xml:space="preserve"> </w:t>
      </w:r>
      <w:r>
        <w:rPr>
          <w:u w:val="single"/>
        </w:rPr>
        <w:t xml:space="preserve">INTERSCHOLASTIC ATHLETIC COMPETITION BASED ON BIOLOGICAL SEX.  (a)  In this section, "biological sex" means the physical condition of being male or female as determined by the sex organs, chromosomes, and endogenous profile of the individual at birth.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w:t>
      </w:r>
      <w:r>
        <w:rPr>
          <w:u w:val="single"/>
        </w:rPr>
        <w:t xml:space="preserve">), an interscholastic athletic team sponsored or authorized by a school district or open-enrollment charter school may not allow a student to compete in an interscholastic athletic competition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interscholastic athletic team described by Subsection (b)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any type of scrivener or clerical error in the student's biological sex.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University Interscholastic League shall adopt rules to implement this section, provided that the rules must be approved by the commissioner in accordance with Section 33.083(b).  The rules must ensure compliance with state and federal law regarding the confidentiality of student medical information, including Chapter 181, Health and Safety Code, and the Health Insurance Portability and Accountability Act of 1996 (42 U.S.C. Section 1320d et seq.).</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to any interscholastic athletic competition sponsored or authorized by a school district or open-enrollment charter school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