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87S30369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Klick, Hefner, Morrison, Noble</w:t>
      </w: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3F3435" w:rsidRDefault="0032493E">
      <w:pPr>
        <w:spacing w:line="480" w:lineRule="auto"/>
        <w:ind w:firstLine="1440"/>
        <w:jc w:val="both"/>
      </w:pPr>
      <w:r>
        <w:t xml:space="preserve">(2)</w:t>
      </w:r>
      <w:r xml:space="preserve">
        <w:t> </w:t>
      </w:r>
      <w:r xml:space="preserve">
        <w:t> </w:t>
      </w:r>
      <w:r>
        <w:t xml:space="preserve">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3F3435" w:rsidRDefault="0032493E">
      <w:pPr>
        <w:spacing w:line="480" w:lineRule="auto"/>
        <w:ind w:firstLine="1440"/>
        <w:jc w:val="both"/>
      </w:pPr>
      <w:r>
        <w:t xml:space="preserve">(3)</w:t>
      </w:r>
      <w:r xml:space="preserve">
        <w:t> </w:t>
      </w:r>
      <w:r xml:space="preserve">
        <w:t> </w:t>
      </w:r>
      <w:r>
        <w:t xml:space="preserve">courts have recognized that classification by sex is the only feasible classification to promote the governmental interest of providing for interscholastic athletic opportunities for girls.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further the governmental interest of ensuring that sufficient interscholastic athletic opportunities remain available for girls to remedy past discrimination on the basis of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