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October</w:t>
      </w:r>
      <w:r xml:space="preserve">
        <w:t> </w:t>
      </w:r>
      <w:r>
        <w:t xml:space="preserve">15,</w:t>
      </w:r>
      <w:r xml:space="preserve">
        <w:t> </w:t>
      </w:r>
      <w:r>
        <w:t xml:space="preserve">2021; October</w:t>
      </w:r>
      <w:r xml:space="preserve">
        <w:t> </w:t>
      </w:r>
      <w:r>
        <w:t xml:space="preserve">15,</w:t>
      </w:r>
      <w:r xml:space="preserve">
        <w:t> </w:t>
      </w:r>
      <w:r>
        <w:t xml:space="preserve">2021, read first time and referred to Committee on Health &amp; Human Services; October</w:t>
      </w:r>
      <w:r xml:space="preserve">
        <w:t> </w:t>
      </w:r>
      <w:r>
        <w:t xml:space="preserve">15,</w:t>
      </w:r>
      <w:r xml:space="preserve">
        <w:t> </w:t>
      </w:r>
      <w:r>
        <w:t xml:space="preserve">2021, reported favorably by the following vote:</w:t>
      </w:r>
      <w:r>
        <w:t xml:space="preserve"> </w:t>
      </w:r>
      <w:r>
        <w:t xml:space="preserve"> </w:t>
      </w:r>
      <w:r>
        <w:t xml:space="preserve">Yeas 6, Nays 3; October</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historically, boys participate in interscholastic athletics at a higher rate than girls, and a noticeable disparity continues between the athletic participation rates of students who are girls and students who are boys in University Interscholastic League member schools;</w:t>
      </w:r>
    </w:p>
    <w:p w:rsidR="003F3435" w:rsidRDefault="0032493E">
      <w:pPr>
        <w:spacing w:line="480" w:lineRule="auto"/>
        <w:ind w:firstLine="1440"/>
        <w:jc w:val="both"/>
      </w:pPr>
      <w:r>
        <w:t xml:space="preserve">(2)</w:t>
      </w:r>
      <w:r xml:space="preserve">
        <w:t> </w:t>
      </w:r>
      <w:r xml:space="preserve">
        <w:t> </w:t>
      </w:r>
      <w:r>
        <w:t xml:space="preserve">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3F3435" w:rsidRDefault="0032493E">
      <w:pPr>
        <w:spacing w:line="480" w:lineRule="auto"/>
        <w:ind w:firstLine="1440"/>
        <w:jc w:val="both"/>
      </w:pPr>
      <w:r>
        <w:t xml:space="preserve">(3)</w:t>
      </w:r>
      <w:r xml:space="preserve">
        <w:t> </w:t>
      </w:r>
      <w:r xml:space="preserve">
        <w:t> </w:t>
      </w:r>
      <w:r>
        <w:t xml:space="preserve">courts have recognized that classification by sex is the only feasible classification to promote the governmental interest of providing for interscholastic athletic opportunities for girls.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further the governmental interest of ensuring that sufficient interscholastic athletic opportunities remain available for girls to remedy past discrimination on the basis of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In this section, "biological sex" means the physical condition of being male or female as determined by the sex organs, chromosomes, and endogenous profile of the individual at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any type of scrivener or clerical error in the student's biological sex.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  The rules must ensure compliance with state and federal law regarding the confidentiality of student medical information, including Chapter 181, Health and Safety Code, and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