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The financial assistance may be in the amount and form and according to the terms that the commission by rule determines. The commission shall give priority to property the commission determines to be endangered by demolition, neglect, underuse, looting, vandalism, or other threat to the property. Gifts and grants deposited to the credit of the account specifically for any eligible projects may be used only for the type of projects specified. If such a specification is not made, the gift or grant shall be unencumbered and accrue to the benefit of the Texas preservation trust fund account. 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OF A MONUMENT OR MEMORIAL.  (a)  In this section, "monument or memorial" means a permanent monument, memorial, or other designation, including a statue, portrait, plaque, seal, symbol, </w:t>
      </w:r>
      <w:r>
        <w:rPr>
          <w:u w:val="single"/>
        </w:rPr>
        <w:t xml:space="preserve">cenotaph,</w:t>
      </w:r>
      <w:r>
        <w:t xml:space="preserve"> 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w:t>
      </w:r>
      <w:r>
        <w:t xml:space="preserve"> only[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w:t>
      </w:r>
      <w:r>
        <w:rPr>
          <w:strike/>
        </w:rPr>
        <w:t xml:space="preserve">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t xml:space="preserve"> </w:t>
      </w:r>
      <w:r>
        <w:t xml:space="preserve">[</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w:t>
      </w:r>
      <w:r>
        <w:rPr>
          <w:u w:val="single"/>
        </w:rPr>
        <w:t xml:space="preserve"> </w:t>
      </w:r>
      <w:r>
        <w:rPr>
          <w:u w:val="single"/>
        </w:rPr>
        <w:t xml:space="preserve">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w:t>
      </w:r>
      <w:r>
        <w:rPr>
          <w:u w:val="single"/>
        </w:rPr>
        <w:t xml:space="preserve"> </w:t>
      </w:r>
      <w:r>
        <w:rPr>
          <w:u w:val="single"/>
        </w:rPr>
        <w:t xml:space="preserve">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