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against the ad valorem taxes imposed on property owned by a person who makes a donation to the state for the purpose of border security and reimbursement to taxing units for the revenue loss incurred as a result of the credit.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31.038.</w:t>
      </w:r>
      <w:r>
        <w:rPr>
          <w:u w:val="single"/>
        </w:rPr>
        <w:t xml:space="preserve"> </w:t>
      </w:r>
      <w:r>
        <w:rPr>
          <w:u w:val="single"/>
        </w:rPr>
        <w:t xml:space="preserve"> </w:t>
      </w:r>
      <w:r>
        <w:rPr>
          <w:u w:val="single"/>
        </w:rPr>
        <w:t xml:space="preserve">TAX CREDIT FOR DONATIONS TO SUPPORT BORDER SECURITY EFFORTS.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security efforts" means programs or activities undertaken and funded by this state or an agency of this state to secure the international border of this state with the United Mexican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or partnership,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"Principal office" means the location where the decision makers for a business entity conduct the daily affairs of the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of property is entitled to a credit against the taxes imposed in a tax year on that property by a taxing unit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United States citizen residing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entity whose principal office is located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donates money to this state in support of border security efforts.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to which a property owner is entitled under this section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money the property owner donated to this state in support of border security efforts during the preceding 12-month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taxes imposed on the property by all of the taxing units that tax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the credit must first be applied against the taxes imposed on the property by the school district in which the property is located.  If, after applying the credit against the taxes imposed on the property by the school district, any amount of the credit remains, that amount applies against the taxes imposed on the property by each taxing unit in which the property is located other than the school district in an amount computed by multiplying the remaining amount of the credit by a fraction, the numerator of which is the amount of taxes imposed on the property by the applicable taxing unit and the denominator of which is the total amount of taxes imposed on the property by all of the taxing units other than the school district that tax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property owner must file an application each year with the chief appraiser of the appraisal district in which the property is located to receive a credit under this section.  The application must include an affidavit stating the amount of the donations described by Subsection (b)(2) made by the property owner during the preceding 12-month period and include any relevant information or documentation required by the application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forward a copy of the application to the assessor for each taxing unit that taxes the property.  The assessors for the taxing units shall consult with one another as necessary to compute the amount of credit, if any, to be granted by each taxing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for the implementation and administration of this section, including rules prescribing the form of an application for the credit and specifying the 12-month period during which donations may be used to calculate the credit.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481.078, Government Code, is amended by amending Subsection (c) and adding Subsection (d-2)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w:t>
      </w:r>
      <w:r>
        <w:rPr>
          <w:u w:val="single"/>
        </w:rPr>
        <w:t xml:space="preserve">,</w:t>
      </w:r>
      <w:r>
        <w:t xml:space="preserve"> [</w:t>
      </w:r>
      <w:r>
        <w:rPr>
          <w:strike/>
        </w:rPr>
        <w:t xml:space="preserve">and</w:t>
      </w:r>
      <w:r>
        <w:t xml:space="preserve">] (d-1), </w:t>
      </w:r>
      <w:r>
        <w:rPr>
          <w:u w:val="single"/>
        </w:rPr>
        <w:t xml:space="preserve">and (d-2),</w:t>
      </w:r>
      <w:r>
        <w:t xml:space="preserve"> the fund may be used only for economic development, infrastructure development, community development, job training programs, and business incentives.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fund may be used by the comptroller to make border security tax credit reimbursement payments in the manner prescribed by Section 140.010,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140, Local Government Code, is amended by adding Section 140.010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140.010.</w:t>
      </w:r>
      <w:r>
        <w:rPr>
          <w:u w:val="single"/>
        </w:rPr>
        <w:t xml:space="preserve"> </w:t>
      </w:r>
      <w:r>
        <w:rPr>
          <w:u w:val="single"/>
        </w:rPr>
        <w:t xml:space="preserve"> </w:t>
      </w:r>
      <w:r>
        <w:rPr>
          <w:u w:val="single"/>
        </w:rPr>
        <w:t xml:space="preserve">BORDER SECURITY TAX CREDIT REIMBURSEMENT PAYMENTS.  (a) </w:t>
      </w:r>
      <w:r>
        <w:rPr>
          <w:u w:val="single"/>
        </w:rPr>
        <w:t xml:space="preserve"> </w:t>
      </w:r>
      <w:r>
        <w:rPr>
          <w:u w:val="single"/>
        </w:rPr>
        <w:t xml:space="preserve">In this section, "taxing unit" and "tax year" have the meanings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taxing unit is entitled to a border security tax credit reimbursement payment from the state for a tax year for which the chief appraiser of the appraisal district in which the taxing unit participates approves an application for a credit under Section 31.038,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border security tax credit reimbursement payment is equal to the revenue loss incurred by the taxing unit as a result of the credit under Section 31.038, Tax Code, in the tax year for which the border security tax credit reimbursement payment is sought.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April 1 of the year following the tax year for which the border security tax credit reimbursement payment is sought, the taxing unit may submit an application to the comptroller to receive a border security tax credit reimbursement payment for that tax year.  The application must be made on a form prescribed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taxing unit that does not submit an application to the comptroller by the date prescribed by Subsection (d) is not entitled to a border security tax credit reimbursement payment for the tax year for which the deadline applies.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review each application by a taxing unit to determine whether the taxing unit is entitled to a border security tax credit reimbursement payment.  If the comptroller determines that the taxing unit is entitled to the payment, the comptroller shall remit the payment to the taxing unit not later than the 30th day after the date the application for the payment is made.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make border security tax credit reimbursement payments using money in the Texas Enterprise Fund.  In the event that the Texas Enterprise Fund does not maintain a positive balance on the date the comptroller is required to make a payment, the comptroller shall make the payment using undedicated money in the general revenue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2023, but only if the constitutional amendment proposed by the 87th Legislature, 3rd Called Session, 2021, to authorize the legislature to provide for a credit against the ad valorem taxes imposed on property owned by a person who makes a donation to the state for the purpose of border security and to provide for the reimbursement of political subdivisions for the revenue loss incurred as a result of the credit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