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efficiency goals for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39.905, Utilities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meeting the demand goals provided by Subsection (a), each electric utility shall also meet an annual energy savings goal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one-fourth of one percent annual energy savings in the 2022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one-half of one percent annual energy savings in the 2023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three-fourths of one percent annual energy savings in the 2024 calendar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percent annual energy savings beginning with the 2025 calendar year.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by rule shall provide a method to establish each utility's annual savings goal under Subsection (a-1).  The method must be based on the existing and expected usage of electricity delivered in a utility's service area that is required to pay the annual energy efficiency cost recovery fee.  In adopting rules, the commission may provide for cost caps for the implementation of Subsection (a-1) and provide good cause exceptions for a utility that is unable to meet the goal in a cost-effective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Utility Commission of Texas shall adopt rules to implement the changes made by this Act to Section 39.905, Utilities Code, not later than the 120th day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