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87S30040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and professional liability insurance coverage for gender transitioning or gender reassignment medical procedures and treatments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administer, or supply any of the following medications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(a) </w:t>
      </w:r>
      <w:r>
        <w:rPr>
          <w:u w:val="single"/>
        </w:rPr>
        <w:t xml:space="preserve"> </w:t>
      </w:r>
      <w:r>
        <w:rPr>
          <w:u w:val="single"/>
        </w:rPr>
        <w:t xml:space="preserve">Section 161.702 does not apply to a physician's or health care provider's provision,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161.702 does not apply to a physician's or health care provider's provision of a puberty suppression or blocking prescription drug to a child experiencing precocious puberty for the purpose of normalizing puberty for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DISCIPLINARY ACTION. </w:t>
      </w:r>
      <w:r>
        <w:rPr>
          <w:u w:val="single"/>
        </w:rPr>
        <w:t xml:space="preserve"> </w:t>
      </w:r>
      <w:r>
        <w:rPr>
          <w:u w:val="single"/>
        </w:rPr>
        <w:t xml:space="preserve">The Texas Medical Board or another state regulatory agency with jurisdiction over a health care provider subject to Section 161.702 shall revoke the license, certification, or authorization of a physician or health care provider who the board or agency determines has violated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May 1, 2022. An insurance policy that is delivered, issued for delivery, or renewed before May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