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climate control requirements at facilities operated by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501, Government Code, is amended by adding Section 501.028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CLIMATE CONTROL REQUIREMENTS AT DEPARTMENT FACILITIES.  (a)  In this section, "required temperature-controlled area" means the following areas of a facility operated by the department: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hospitals;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visiting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housing or dormitory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trustee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used for medical treatment or care, including areas used for dispensing medication to inmates;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kitchens or dining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preparation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community areas, including dayrooms;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laundry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used for work stations;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indoor recreational areas, including gymnasiums;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restroom and shower areas and other areas related to inmate hygiene;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correctional officer stations, including guard post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commissary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used for programmatic, educational, or vocational purposes;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chapels or churches;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libraries;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areas.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ensure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temperature in each required temperature-controlled area is maintained at not less than 65 degrees Fahrenheit or more than 85 degrees Fahrenheit;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climate control system in use at a facility operated by the department includes virus-mitigation technology, such as air purifiers, for the purpose of reducing the spread of airborne viruses.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Department of Criminal Justice is not required to comply with the requirements of Section 501.028, Government Code, as added by this Act, until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