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87S30087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COVID-19 vaccine mandates.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Pelosi Congressional Vaccination Doctrine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161, Health and Safety Code, is amended by adding Section 161.0015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COVID-19 VACCINE MANDATES PROHIBITED.  (a)  In this section, "governmental entity" means this state, a local government entity as defined by Section 418.004, Government Code, or an agency of this state or a local government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may not implement, order, or otherwise impose a mandate requiring an individual to be vaccinated against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161.0085(c),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business in this state may not require a customer </w:t>
      </w:r>
      <w:r>
        <w:rPr>
          <w:u w:val="single"/>
        </w:rPr>
        <w:t xml:space="preserve">or an employee of the business</w:t>
      </w:r>
      <w:r>
        <w:t xml:space="preserve"> to provide any documentation certifying the customer's </w:t>
      </w:r>
      <w:r>
        <w:rPr>
          <w:u w:val="single"/>
        </w:rPr>
        <w:t xml:space="preserve">or employee's</w:t>
      </w:r>
      <w:r>
        <w:t xml:space="preserve"> COVID-19 vaccination or post-transmission recovery on entry to, to gain access to, [</w:t>
      </w:r>
      <w:r>
        <w:rPr>
          <w:strike/>
        </w:rPr>
        <w:t xml:space="preserve">or</w:t>
      </w:r>
      <w:r>
        <w:t xml:space="preserve">] to receive service from</w:t>
      </w:r>
      <w:r>
        <w:rPr>
          <w:u w:val="single"/>
        </w:rPr>
        <w:t xml:space="preserve">, or to be employed by</w:t>
      </w:r>
      <w:r>
        <w:t xml:space="preserve"> the business.  A business that fails to comply with this subsection is not eligible to receive a grant or enter into a contract payable with state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