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87S30086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COVID-19 health information clearinghouse.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108A to read as follows:</w:t>
      </w:r>
    </w:p>
    <w:p w:rsidR="003F3435" w:rsidRDefault="0032493E">
      <w:pPr>
        <w:spacing w:line="480" w:lineRule="auto"/>
        <w:jc w:val="center"/>
      </w:pPr>
      <w:r>
        <w:rPr>
          <w:u w:val="single"/>
        </w:rPr>
        <w:t xml:space="preserve">CHAPTER 108A.  COVID-19 HEALTH INFORMATION CLEARINGHOUSE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"Clearinghouse" means the COVID-19 health information clearinghouse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"Division" means the Texas Division of Emergency Management.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provider" means a health facility licensed to provide health care services in this state or a health care practitioner licensed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108A.002.</w:t>
      </w:r>
      <w:r>
        <w:rPr>
          <w:u w:val="single"/>
        </w:rPr>
        <w:t xml:space="preserve"> </w:t>
      </w:r>
      <w:r>
        <w:rPr>
          <w:u w:val="single"/>
        </w:rPr>
        <w:t xml:space="preserve"> </w:t>
      </w:r>
      <w:r>
        <w:rPr>
          <w:u w:val="single"/>
        </w:rPr>
        <w:t xml:space="preserve">ESTABLISHMENT OF CLEARINGHOUSE.  (a)  The department, in collaboration with the commission, division, and members of the medical community in this state, shall establish a COVID-19 health information clearinghouse to serve as a central repository of COVID-19 health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the clearinghouse by maintaining an Internet portal accessible through the department's Internet website that allows health care providers to submit and the public to access health information related to COVID-19.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clearinghouse, the department, commission, and division shall develop and implement guidelines to ensure that each health care provider submits relevant COVID-19 health information through the Internet portal in a manner and at times determined appropriate by those agencies to ensure the clearinghouse maintains accurate and current information on COVID-19.  The clearinghouse at a minimum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individuals who are vaccinated against COVID-19 in this state, including the total number of individuals who are fully immunized against COVID-19;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and percentage of individuals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obtained at least one dose of a COVID-19 vaccine;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fully immunized against COVID-19 after obtaining all medically recommended doses of the vaccine;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tested positive for COVID-19;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are hospitalized in this state for COVID-19;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and percentage of deaths in this state of individuals who were vaccinated against COVID-19 and for which COVID-19 was determined to be the cause of or a contributing factor to death;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(f), relevant demographic data determined appropriate by those agencies.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provider may submit additional information to be included in the clearinghouse on COVID-19 treatments administered by the provider, health outcomes related to those treatments, and any relevant demographic data.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establishing the clearinghouse, the department, commission, and division shall ensure the clearinghouse: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aggregates COVID-19 health information submitted under this section in an open-source format that is machine-readable and allows the public to easily access and navigate the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the public to search the information at a minimum by the categories described by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establishing the clearinghouse, the department, commission, and division shall ensure COVID-19 health information submitted by health care providers or accessible to the public through the clearinghouse does not disclose a patient's personally identifiable information or information that is confidential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108A.003.</w:t>
      </w:r>
      <w:r>
        <w:rPr>
          <w:u w:val="single"/>
        </w:rPr>
        <w:t xml:space="preserve"> </w:t>
      </w:r>
      <w:r>
        <w:rPr>
          <w:u w:val="single"/>
        </w:rPr>
        <w:t xml:space="preserve"> </w:t>
      </w:r>
      <w:r>
        <w:rPr>
          <w:u w:val="single"/>
        </w:rPr>
        <w:t xml:space="preserve">MEMORANDUM OF UNDERSTANDING.  The department, commission, and division may enter into a memorandum of understanding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the clearinghouse is administered and maintained in accordance with this chapter, including by identifying and establishing enforcement mechanisms for that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defines each agency's responsibilities with respect to establishing or administering the clearinghouse.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State Health Services shall establish the COVID-19 health information clearinghouse as required by Chapter 108A,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