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87S30227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business to implement certain communicable disease prevention and control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 81.018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OF BUSINESS TO IMPLEMENT CERTAIN COMMUNICABLE DISEASE PREVENTION AND CONTROL POLICIES.  (a)  In this section, "COVID-19" means the 2019 novel coronavirus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business in this state may implement a policy that requires an individual to wear a face mask or covering or to provide proof of vaccination or immunization against a particular communicable disease, including COVID-19, for the individual to obtain a service provided by or gain access to an establishment owned or operated by the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not suspend or revoke a business's license, permit, or other state authorization necessary for conducting business in this state or take any other disciplinary action against a business for implementing a policy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161.0085(c) and (d), Health and Safety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