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87S30152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sexual assault and incest exceptions to the prohibition on abortion after the detection of a fetal heartbeat.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171.205,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171.205.</w:t>
      </w:r>
      <w:r xml:space="preserve">
        <w:t> </w:t>
      </w:r>
      <w:r xml:space="preserve">
        <w:t> </w:t>
      </w:r>
      <w:r>
        <w:rPr>
          <w:u w:val="single"/>
        </w:rPr>
        <w:t xml:space="preserve">EXCEPTIONS</w:t>
      </w:r>
      <w:r>
        <w:t xml:space="preserve"> [</w:t>
      </w:r>
      <w:r>
        <w:rPr>
          <w:strike/>
        </w:rPr>
        <w:t xml:space="preserve">EXCEPTION FOR MEDICAL EMERGENCY</w:t>
      </w:r>
      <w:r>
        <w:t xml:space="preserve">];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171.205, Health and Safety Code, is amended by adding Subsections (a-1) and (b-1) and amending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171.203 and 171.204 do not apply to an abortion of a pregnancy that is a result of a sexual assault in violation of Section 22.011 or 22.021, Penal Code, or of conduct constituting an offense under Section 25.02, Penal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who performs or induces an abortion described by Subsection (a-1) shall make a written notation of the exception in the pregnant woman's medical file.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physician performing or inducing an abortion under this section shall maintain in the physician's practice records a copy of the notations made under Subsection (b) </w:t>
      </w:r>
      <w:r>
        <w:rPr>
          <w:u w:val="single"/>
        </w:rPr>
        <w:t xml:space="preserve">or (b-1), as applicable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171.205, Health and Safety Code, as amended by this Act, applies only to an abortion performed or induced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