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87S30266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physical restraint of or use of chemical irritants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on a student 10 years of age or younger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