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imposition of municipal ad valorem taxes on property that does not receive full municipal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43, Local Government Code, is amended by adding Section 43.909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AD VALOREM TAXATION IN CERTAIN AREAS PROHIBITED.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municipality may not impose a tax on real property in an area that does not receive full municipal services. The prohibition may be waived by written agreement between the municipality and a landowner in the area. A written agreement applies only to property owned by the landowner who enters into the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