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87S30364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policy requiring the use of face coverings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38.0022.</w:t>
      </w:r>
      <w:r>
        <w:rPr>
          <w:u w:val="single"/>
        </w:rPr>
        <w:t xml:space="preserve"> </w:t>
      </w:r>
      <w:r>
        <w:rPr>
          <w:u w:val="single"/>
        </w:rPr>
        <w:t xml:space="preserve"> </w:t>
      </w:r>
      <w:r>
        <w:rPr>
          <w:u w:val="single"/>
        </w:rPr>
        <w:t xml:space="preserve">FACE COVERING POLICY.  Notwithstanding any other law, the board of trustees of a school district or the governing body of an open-enrollment charter school may require an individual to wear a face mask, face shield, or other face covering to reduce the spread of infectious, contagious, and communicable diseases when the individual is in the following settings operated by the district or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bus;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congregate educational setting in which children younger than 12 years of age may be present during times dedicated for educational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