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136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criminal offenses related to elections;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64.012(b), Election Code, as amended by Senate Bill 1 of the Second Called Session of the 87th Legislature,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w:t>
      </w:r>
      <w:r>
        <w:rPr>
          <w:u w:val="single"/>
        </w:rPr>
        <w:t xml:space="preserve">felony of the second degree unless the person is convicted of an attempt.  In that case, the offense is a state jail felony</w:t>
      </w:r>
      <w:r>
        <w:t xml:space="preserve"> [</w:t>
      </w:r>
      <w:r>
        <w:rPr>
          <w:strike/>
        </w:rPr>
        <w:t xml:space="preserve">Class A misdemeanor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offense committed on or after the effective date of this Act. </w:t>
      </w:r>
      <w:r>
        <w:t xml:space="preserve"> </w:t>
      </w:r>
      <w:r>
        <w:t xml:space="preserve">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