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87S30490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committing certain offenses relating to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64.012(b), Election Code, as effective December 2, 2021,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unless the person is convicted of an attempt. </w:t>
      </w:r>
      <w:r>
        <w:rPr>
          <w:u w:val="single"/>
        </w:rPr>
        <w:t xml:space="preserve"> </w:t>
      </w:r>
      <w:r>
        <w:rPr>
          <w:u w:val="single"/>
        </w:rPr>
        <w:t xml:space="preserve">In that case, the offense is a 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276.013(b), Election Code, as effective December 2, 2021,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unless[</w:t>
      </w:r>
      <w:r>
        <w:rPr>
          <w:strike/>
        </w:rPr>
        <w:t xml:space="preserve">:</w:t>
      </w:r>
    </w:p>
    <w:p w:rsidR="003F3435" w:rsidRDefault="0032493E">
      <w:pPr>
        <w:spacing w:line="480" w:lineRule="auto"/>
        <w:ind w:firstLine="1440"/>
        <w:jc w:val="both"/>
      </w:pPr>
      <w:r>
        <w:t xml:space="preserve">[</w:t>
      </w:r>
      <w:r>
        <w:rPr>
          <w:strike/>
        </w:rPr>
        <w:t xml:space="preserve">(1)</w:t>
      </w:r>
      <w:r>
        <w:t xml:space="preserve">] the person committed the offense while acting in the person's capacity as an elected official, in which case the offense is a state jail felony[</w:t>
      </w:r>
      <w:r>
        <w:rPr>
          <w:strike/>
        </w:rPr>
        <w:t xml:space="preserve">; or</w:t>
      </w:r>
    </w:p>
    <w:p w:rsidR="003F3435" w:rsidRDefault="0032493E">
      <w:pPr>
        <w:spacing w:line="480" w:lineRule="auto"/>
        <w:ind w:firstLine="1440"/>
        <w:jc w:val="both"/>
      </w:pPr>
      <w:r>
        <w:t xml:space="preserve">[</w:t>
      </w:r>
      <w:r>
        <w:rPr>
          <w:strike/>
        </w:rPr>
        <w:t xml:space="preserve">(2) the person is convicted of an attempt, in which case the offense is a Class B misdemeanor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