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87S30347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the receipt by a municipality or county of certain federal coronavirus relief money on the computation of certain ad valorem tax rates of and the procedure for adoption of a tax rate by the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26.0445.</w:t>
      </w:r>
      <w:r>
        <w:rPr>
          <w:u w:val="single"/>
        </w:rPr>
        <w:t xml:space="preserve"> </w:t>
      </w:r>
      <w:r>
        <w:rPr>
          <w:u w:val="single"/>
        </w:rPr>
        <w:t xml:space="preserve"> </w:t>
      </w:r>
      <w:r>
        <w:rPr>
          <w:u w:val="single"/>
        </w:rPr>
        <w:t xml:space="preserve">TEMPORARY TAX RATE ADJUSTMENT FOR CERTAIN FEDERAL CORONAVIRUS RELIEF MONEY.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"2021 federal coronavirus relief money" means money received by a municipality or a county in 2021 from the Coronavirus Local Fiscal Recovery Fund (42 U.S.C. Section 803) established under the American Rescue Plan Act of 2021 (Pub. L. No.</w:t>
      </w:r>
      <w:r>
        <w:rPr>
          <w:u w:val="single"/>
        </w:rPr>
        <w:t xml:space="preserve"> </w:t>
      </w:r>
      <w:r>
        <w:rPr>
          <w:u w:val="single"/>
        </w:rPr>
        <w:t xml:space="preserve">117-2).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"2022 federal coronavirus relief money" means money received by a municipality or a county in 2022 from the Coronavirus Local Fiscal Recovery Fund (42 U.S.C. Section 803) established under the American Rescue Plan Act of 2021 (Pub. L. No.</w:t>
      </w:r>
      <w:r>
        <w:rPr>
          <w:u w:val="single"/>
        </w:rPr>
        <w:t xml:space="preserve"> </w:t>
      </w:r>
      <w:r>
        <w:rPr>
          <w:u w:val="single"/>
        </w:rPr>
        <w:t xml:space="preserve">117-2).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tax year beginning January 1, 2022, the no-new-revenue tax rate and voter-approval tax rate for a municipality or county are decreased by the rate computed according to the following formula:</w:t>
      </w:r>
    </w:p>
    <w:p w:rsidR="003F3435" w:rsidRDefault="0032493E">
      <w:pPr>
        <w:spacing w:line="480" w:lineRule="auto"/>
        <w:ind w:firstLine="720"/>
        <w:ind w:start="720"/>
        <w:ind w:end="720"/>
        <w:jc w:val="both"/>
      </w:pPr>
      <w:r>
        <w:rPr>
          <w:u w:val="single"/>
        </w:rPr>
        <w:t xml:space="preserve">2021 Federal Coronavirus Relief Money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tax year beginning January 1, 2023, the no-new-revenue tax rate and voter-approval tax rate for a municipality or county are decreased by the rate computed according to the following formula:</w:t>
      </w:r>
    </w:p>
    <w:p w:rsidR="003F3435" w:rsidRDefault="0032493E">
      <w:pPr>
        <w:spacing w:line="480" w:lineRule="auto"/>
        <w:ind w:firstLine="720"/>
        <w:ind w:start="720"/>
        <w:ind w:end="720"/>
        <w:jc w:val="both"/>
      </w:pPr>
      <w:r>
        <w:rPr>
          <w:u w:val="single"/>
        </w:rPr>
        <w:t xml:space="preserve">(2022 Federal Coronavirus Relief Money - 2021 Federal Coronavirus Relief Money) / (Current Total Value - New Property Value)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tax year beginning January 1, 2024, the no-new-revenue tax rate and voter-approval tax rate for a municipality or county are increased by the rate computed according to the following formula:</w:t>
      </w:r>
    </w:p>
    <w:p w:rsidR="003F3435" w:rsidRDefault="0032493E">
      <w:pPr>
        <w:spacing w:line="480" w:lineRule="auto"/>
        <w:ind w:firstLine="720"/>
        <w:ind w:start="720"/>
        <w:ind w:end="720"/>
        <w:jc w:val="both"/>
      </w:pPr>
      <w:r>
        <w:rPr>
          <w:u w:val="single"/>
        </w:rPr>
        <w:t xml:space="preserve">[2021 Federal Coronavirus Relief Money + (2022 Federal Coronavirus Relief Money - 2021 Federal Coronavirus Relief Money)] / (Current Total Value - New Property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computing the rates under Subsections (c) and (d), if the amount of 2022 federal coronavirus relief money is less than the amount of 2021 federal coronavirus relief money, the difference between those amounts is considered to be zero.</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municipality or county shall include a notice of the decrease or increase, as applicable, in the no-new-revenue tax rate and voter-approval tax rate provided by this section, including a description and the amount of 2021 or 2022 federal coronavirus relief money, as applicable, in the information published under Section 26.04(e) and, as applicable, in the notice prescribed by Section 26.06 or 26.061.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January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computation of the no-new-revenue tax rate and voter-approval tax rate of a municipality or county beginning with the 2022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