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87S30514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H.B.</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principles to govern redistricting plans enacted by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319A to read as follows:</w:t>
      </w:r>
    </w:p>
    <w:p w:rsidR="003F3435" w:rsidRDefault="0032493E">
      <w:pPr>
        <w:spacing w:line="480" w:lineRule="auto"/>
        <w:jc w:val="center"/>
      </w:pPr>
      <w:r>
        <w:rPr>
          <w:u w:val="single"/>
        </w:rPr>
        <w:t xml:space="preserve">CHAPTER 319A.  REDISTRICTING LEGISLATION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319A.001.</w:t>
      </w:r>
      <w:r>
        <w:rPr>
          <w:u w:val="single"/>
        </w:rPr>
        <w:t xml:space="preserve"> </w:t>
      </w:r>
      <w:r>
        <w:rPr>
          <w:u w:val="single"/>
        </w:rPr>
        <w:t xml:space="preserve"> </w:t>
      </w:r>
      <w:r>
        <w:rPr>
          <w:u w:val="single"/>
        </w:rPr>
        <w:t xml:space="preserve">PRINCIPLES GOVERNING LEGISLATIVE REDISTRICTING.  (a) </w:t>
      </w:r>
      <w:r>
        <w:rPr>
          <w:u w:val="single"/>
        </w:rPr>
        <w:t xml:space="preserve"> </w:t>
      </w:r>
      <w:r>
        <w:rPr>
          <w:u w:val="single"/>
        </w:rPr>
        <w:t xml:space="preserve">In enacting legislation adopting or modifying a redistricting plan for the election of the Texas Senate, the Texas House of Representatives, or the members of the United States House of Representatives elected from this state, the legislature shall ensure that the plan, including any modifications to the plan, conforms to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shall respect the integrity of the state's basic geographic regions to the extent practicable;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shall avoid unnecessarily dividing counties and municipalities in the formation of districts, and district boundaries shall to the extent practicable be coterminous with the boundaries of counties and municipalities, but if division of a county or municipality is unavoidable, district lines must follow boundaries such as rivers, mountains, state highways, or residential subdivisions to the extent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shall to the extent practicable keep intact communities of interest defined by social, economic, racial, ethnic, cultural, industrial, commercial, and geographic commonalities;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shall be geographically compact and composed of convenient contiguous territory;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may not be drawn with consideration to partisan political effect or with intent to favor or disfavor any specific person, political party, or other organization;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must comply with applicable state and federal constitutional and statutory requirements, including the federal Voting Rights Act of 1965 (52 U.S.C. Section 10101 et seq.);</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districts in a plan must be equal in population as nearly as practicable in accordance with the other principles described by this subsection;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addition to the requirements of federal law, districts must be drawn in a manner that does not discriminate on the basis of race, color, or membership in a language minority group by ensuring the voting strength of racial, ethnic, and language minorities in the districts is not intentionally or inadvertently diluted in a manner that deprives minority voters of an equal opportunity to elect a candidate of their choice.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principle described by Subsection (a)(2) applies to a plan for the election of the Texas House of Representatives in addition to the requirements of Section 26, Article III, Texas Constitution.  District lines shall to the extent practicable be coterminous with the boundaries of counties and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