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87S30563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Rosenthal</w:t>
      </w:r>
      <w:r xml:space="preserve">
        <w:tab wTab="150" tlc="none" cTlc="0"/>
      </w:r>
      <w:r>
        <w:t xml:space="preserve">H.B.</w:t>
      </w:r>
      <w:r xml:space="preserve">
        <w:t> </w:t>
      </w:r>
      <w:r>
        <w:t xml:space="preserve">No.</w:t>
      </w:r>
      <w:r xml:space="preserve">
        <w:t> </w:t>
      </w:r>
      <w:r>
        <w:t xml:space="preserve">154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weatherization of certain natural gas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81.073(b), Natural Resources Code, as added by Section 4, Chapter 426 (S.B. 3), Acts of the 87th Legislature, Regular Session, 2021, is amended to read as follows:</w:t>
      </w:r>
    </w:p>
    <w:p w:rsidR="003F3435" w:rsidRDefault="0032493E">
      <w:pPr>
        <w:spacing w:line="480" w:lineRule="auto"/>
        <w:ind w:firstLine="720"/>
        <w:jc w:val="both"/>
      </w:pPr>
      <w:r>
        <w:t xml:space="preserve">(b)</w:t>
      </w:r>
      <w:r xml:space="preserve">
        <w:t> </w:t>
      </w:r>
      <w:r xml:space="preserve">
        <w:t> </w:t>
      </w:r>
      <w:r>
        <w:t xml:space="preserve">The rules must:</w:t>
      </w:r>
    </w:p>
    <w:p w:rsidR="003F3435" w:rsidRDefault="0032493E">
      <w:pPr>
        <w:spacing w:line="480" w:lineRule="auto"/>
        <w:ind w:firstLine="1440"/>
        <w:jc w:val="both"/>
      </w:pPr>
      <w:r>
        <w:t xml:space="preserve">(1)</w:t>
      </w:r>
      <w:r xml:space="preserve">
        <w:t> </w:t>
      </w:r>
      <w:r xml:space="preserve">
        <w:t> </w:t>
      </w:r>
      <w:r>
        <w:t xml:space="preserve">establish criteria for designating persons who own or operate a facility under the jurisdiction of the commission under Section 81.051(a) or engage in an activity under the jurisdiction of the commission under Section 81.051(a) who must provide critical customer and critical gas supply information, as defined by the commission, to the entities described by Section 38.074(b)(1), Utilities Code;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consider essential operational elements when defining critical customer designations and critical gas supply information for the purposes of Subdivision (1), including natural gas production, processing, and transportation, related produced water handling and disposal facilities, and the delivery of natural gas to generators of electric energy[</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require that only facilities and entities that are prepared to operate during a weather emergency may be designated as a critical customer under this section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86.044(b), Natural Resources Code, is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only to a gas supply chain facility that is:</w:t>
      </w:r>
    </w:p>
    <w:p w:rsidR="003F3435" w:rsidRDefault="0032493E">
      <w:pPr>
        <w:spacing w:line="480" w:lineRule="auto"/>
        <w:ind w:firstLine="1440"/>
        <w:jc w:val="both"/>
      </w:pPr>
      <w:r>
        <w:t xml:space="preserve">(1)</w:t>
      </w:r>
      <w:r xml:space="preserve">
        <w:t> </w:t>
      </w:r>
      <w:r xml:space="preserve">
        <w:t> </w:t>
      </w:r>
      <w:r>
        <w:t xml:space="preserve">included on the electricity supply chain map created under Section 38.203, Utilities Code</w:t>
      </w:r>
      <w:r>
        <w:rPr>
          <w:u w:val="single"/>
        </w:rPr>
        <w:t xml:space="preserve">,</w:t>
      </w:r>
      <w:r>
        <w:t xml:space="preserve">[</w:t>
      </w:r>
      <w:r>
        <w:rPr>
          <w:strike/>
        </w:rPr>
        <w:t xml:space="preserve">;</w:t>
      </w:r>
      <w:r>
        <w:t xml:space="preserve">]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designated as critical by the commission in the manner provided by Section 81.073</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facility used for producing natural gas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81.073, Natural Resources Code, as added by Section 1, Chapter 931 (H.B. 3648), Acts of the 87th Legislature, Regular Session, 2021,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to Section 86.044(b), Natural Resources Code, applies only to a facility for which drilling is begun on or after the effective date of this Act.  A facility for which drilling was begun before the effective date of this Act is governed by the law in effect at the time drilling was begun,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