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87S30799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exemptions from COVID-19 vaccine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EXEMPTIONS FROM COVID-19 VACCINE REQUIREMENTS.  (a)  In this section, "COVID-19" 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161.0085 and notwithstanding any other law, any law, policy, or other measure requiring an individual in this state to be vaccinated against COVID-19 to enter or gain access to, receive a service from, or be employed by an establishment must allow the individual to claim an exemption from the vaccination requirement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individual's acquired immunity against COVID-19 through post-transmission recovery;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medical condition;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reasons of conscience, including a religious belief.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of an establishment who is the subject of a violation of Subsection (b) may bring an action in a district court in the county in which the violation occurred for injunctive or equitable relief or for compensatory or punitive damages in the manner prescribed under Subchapter F, Chapter 21, Labor Code, for a violation of that chapter as if the establishment engaged in a discriminatory or unlawful employment practice to which a complainant is entitled to relief under that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complainant may recover reasonable expenses incurred in bringing an action under Subsection (c), including court costs, attorney's fees, investigation costs, witness fees, and deposition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February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