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87S30780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158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the issuance of revenue bonds for capital projects at The University of Texas of the Permian Basin.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55, Education Code, is amended by adding Section 55.1792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55.1792.</w:t>
      </w:r>
      <w:r>
        <w:rPr>
          <w:u w:val="single"/>
        </w:rPr>
        <w:t xml:space="preserve"> </w:t>
      </w:r>
      <w:r>
        <w:rPr>
          <w:u w:val="single"/>
        </w:rPr>
        <w:t xml:space="preserve"> </w:t>
      </w:r>
      <w:r>
        <w:rPr>
          <w:u w:val="single"/>
        </w:rPr>
        <w:t xml:space="preserve">THE UNIVERSITY OF TEXAS OF THE PERMIAN BASIN; ADDITIONAL BONDS. </w:t>
      </w:r>
      <w:r>
        <w:rPr>
          <w:u w:val="single"/>
        </w:rPr>
        <w:t xml:space="preserve"> </w:t>
      </w:r>
      <w:r>
        <w:rPr>
          <w:u w:val="single"/>
        </w:rPr>
        <w:t xml:space="preserve">(a) </w:t>
      </w:r>
      <w:r>
        <w:rPr>
          <w:u w:val="single"/>
        </w:rPr>
        <w:t xml:space="preserve"> </w:t>
      </w:r>
      <w:r>
        <w:rPr>
          <w:u w:val="single"/>
        </w:rPr>
        <w:t xml:space="preserve">In addition to the other authority granted under this subchapter, the board of regents of The University of Texas System may acquire, purchase, construct, improve, renovate, enlarge, or equip property and facilities, including roads and related infrastructure, for The University of Texas of the Permian Basin for renovation of the Mesa Building and campus transformation, to be financed by the issuance of bonds in accordance with a systemwide revenue financing program and secured as provided by that program, in an aggregate principal amount not to exceed $70 million.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pledge irrevocably to the payment of the bonds authorized by this section all or any part of the revenue funds of an institution, branch, or entity of The University of Texas System, including student tuition charges. </w:t>
      </w:r>
      <w:r>
        <w:rPr>
          <w:u w:val="single"/>
        </w:rPr>
        <w:t xml:space="preserve"> </w:t>
      </w:r>
      <w:r>
        <w:rPr>
          <w:u w:val="single"/>
        </w:rP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sufficient funds are not available to the board to meet its obligations under this section, the board may transfer funds among institutions, branches, and entities of The University of Texas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does not affect any authority or restriction regarding the activities that a public institution of higher education may conduct in connection with a facility financed by bonds authorized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