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for education initiatives, institutions, and related agencies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TEACHER RETIREMENT SYSTEM:  TRS-CARE AND TRS-ACTIVECARE. </w:t>
      </w:r>
      <w:r>
        <w:t xml:space="preserve"> </w:t>
      </w:r>
      <w:r>
        <w:t xml:space="preserve">(a) </w:t>
      </w:r>
      <w:r>
        <w:t xml:space="preserve"> </w:t>
      </w:r>
      <w:r>
        <w:t xml:space="preserve">The amount of $286,337,761 is appropriated to the Teacher Retirement System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coronavirus-related claims in TRS-Care and TRS-ActiveCare incurred before September 1, 2021,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 incurred before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HIGHER EDUCATION COORDINATING BOARD: TEXAS CHILD MENTAL HEALTH CARE CONSORTIUM. </w:t>
      </w:r>
      <w:r>
        <w:t xml:space="preserve"> </w:t>
      </w:r>
      <w:r>
        <w:t xml:space="preserve">(a) </w:t>
      </w:r>
      <w:r>
        <w:t xml:space="preserve"> </w:t>
      </w:r>
      <w:r>
        <w:t xml:space="preserve">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during the two-year period beginning on the effective date of this Act. 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The Texas Child Mental Health Care Consortium may transfer more than 10 percent of funds for those purposes only with the prior approval for the transfer and expenditure from the Legislative Budget Board. 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TEXAS DIVISION OF EMERGENCY MANAGEMENT: STATE OPERATIONS CENTER.  (a) The amount of $300,000,000 is appropriated to the Texas Division of Emergency Management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the acquisition of land for, and construction of, a state operations center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Division of Emergency Management is increased by $300,000,000 for the appropriation made under Subsection (a)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HIGHER EDUCATION COORDINATING BOARD: UNIVERSITY CONSTRUCTION. Contingent on legislation by the 87th Legislature, 3rd Called Session, 2021, relating to the issuance of tuition revenue bonds, becoming law, the amount of $325,000,000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NATIONAL RESEARCH UNIVERSITY FUND.  The amount of $1,000,000,000 is appropriated to the National Research University Fund from the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to be used to increase the corpus of the fund. It is the intent of the Legislature that the methodology used to determine the total distribution from the fund be reset to reflect this additional appropriation.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LEGISLATIVE INTENT REGARDING APPROPRIATIONS.  (a) It is the intent of the legislature that the appropriations made by this Act are one-time appropriations made for the purpose of addressing the needs of this state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appropriations made by this Act be used only for purposes authorized by state and federal law, including guidance issued by the United States Department of the Treasury as part of the interim final rules published in 86 Fed. Reg. 26786 (May 17, 2021).</w:t>
      </w:r>
    </w:p>
    <w:p w:rsidR="003F3435" w:rsidRDefault="0032493E">
      <w:pPr>
        <w:spacing w:line="480" w:lineRule="auto"/>
        <w:ind w:firstLine="720"/>
        <w:jc w:val="both"/>
      </w:pPr>
      <w:r>
        <w:t xml:space="preserve">(c)</w:t>
      </w:r>
      <w:r xml:space="preserve">
        <w:t> </w:t>
      </w:r>
      <w:r xml:space="preserve">
        <w:t> </w:t>
      </w:r>
      <w:r>
        <w:t xml:space="preserve">It is the intent of the legislature that the appropriations made by this Act be used before all other methods of finance if more than one method of finance has been appropriated by this and a prior act of the legislature for use during a state fiscal year.</w:t>
      </w:r>
    </w:p>
    <w:p w:rsidR="003F3435" w:rsidRDefault="0032493E">
      <w:pPr>
        <w:spacing w:line="480" w:lineRule="auto"/>
        <w:ind w:firstLine="720"/>
        <w:jc w:val="both"/>
      </w:pPr>
      <w:r>
        <w:t xml:space="preserve">(d)</w:t>
      </w:r>
      <w:r xml:space="preserve">
        <w:t> </w:t>
      </w:r>
      <w:r xml:space="preserve">
        <w:t> </w:t>
      </w:r>
      <w:r>
        <w:t xml:space="preserve">It is the intent of the legislature that if the purpose of an appropriation, for any reason, is determined by the United States Department of the Treasury or any other qualified state or federal authority to have been made for an improper use, the appropriated money not be spent and instead be retained in the treasury and available for later legislative appropriation.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APPROPRIATION AUTHORITY UNDER FEDERAL LAW.  The appropriations made under Sections 2, 3, 4, and 5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