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87S30398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employer civil liability for COVID-19 vaccine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VACCINATION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EMPLOYER LIABILITY FOR COVID-19 VACCINE REQUIREMENT. (a) In this section, "immediate family member"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related to an employee within the first degree of consanguinity or affinity, as determined by Chapter 573,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employee's sibling.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or the immediate family member of an incapacitated or deceased employee may bring an action against the employee's employer for damages incurred by the employee's injury or death sustained as a result of the employer requiring the employee to receive a vaccine against the 2019 novel coronavirus disease (COVID-19) as a condition of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award a claimant who prevails in an action brought under this section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100B.001, Civil Practice and Remedies Code, as added by this Act, applies to a cause of action that accrues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