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certain vaccine requirements or incentives.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FOR MANDATED OR INCENTIVIZED VACCINATION</w:t>
      </w:r>
    </w:p>
    <w:p w:rsidR="003F3435" w:rsidRDefault="0032493E">
      <w:pPr>
        <w:spacing w:line="480" w:lineRule="auto"/>
        <w:ind w:firstLine="720"/>
        <w:jc w:val="both"/>
      </w:pPr>
      <w:r>
        <w:t xml:space="preserve">Sec.</w:t>
      </w:r>
      <w:r xml:space="preserve">
        <w:t> </w:t>
      </w:r>
      <w:r>
        <w:t xml:space="preserve">100B.001.</w:t>
      </w:r>
      <w:r xml:space="preserve">
        <w:t> </w:t>
      </w:r>
      <w:r xml:space="preserve">
        <w:t> </w:t>
      </w:r>
      <w:r>
        <w:t xml:space="preserve">DEFINITIONS.</w:t>
      </w:r>
    </w:p>
    <w:p w:rsidR="003F3435" w:rsidRDefault="0032493E">
      <w:pPr>
        <w:spacing w:line="480" w:lineRule="auto"/>
        <w:ind w:firstLine="1440"/>
        <w:jc w:val="both"/>
      </w:pPr>
      <w:r>
        <w:t xml:space="preserve">(1)</w:t>
      </w:r>
      <w:r xml:space="preserve">
        <w:t> </w:t>
      </w:r>
      <w:r xml:space="preserve">
        <w:t> </w:t>
      </w:r>
      <w:r>
        <w:t xml:space="preserve">"Employer" means, unless otherwise specified, a person who makes a contract of hire or employs one or more employees.</w:t>
      </w:r>
    </w:p>
    <w:p w:rsidR="003F3435" w:rsidRDefault="0032493E">
      <w:pPr>
        <w:spacing w:line="480" w:lineRule="auto"/>
        <w:ind w:firstLine="1440"/>
        <w:jc w:val="both"/>
      </w:pPr>
      <w:r>
        <w:t xml:space="preserve">(2)</w:t>
      </w:r>
      <w:r xml:space="preserve">
        <w:t> </w:t>
      </w:r>
      <w:r xml:space="preserve">
        <w:t> </w:t>
      </w:r>
      <w:r>
        <w:t xml:space="preserve">"Employee" means a person in the service of another under a contract of hire, whether express or implied, or oral or written, and includes an independent contractor.</w:t>
      </w:r>
    </w:p>
    <w:p w:rsidR="003F3435" w:rsidRDefault="0032493E">
      <w:pPr>
        <w:spacing w:line="480" w:lineRule="auto"/>
        <w:ind w:firstLine="1440"/>
        <w:jc w:val="both"/>
      </w:pPr>
      <w:r>
        <w:t xml:space="preserve">(3)</w:t>
      </w:r>
      <w:r xml:space="preserve">
        <w:t> </w:t>
      </w:r>
      <w:r xml:space="preserve">
        <w:t> </w:t>
      </w:r>
      <w:r>
        <w:t xml:space="preserve">"Person" is defined as set forth in Texas Business and Commerce Code Section 1.201.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LIABILITY FOR VACCINE REQUIREMENT OR INCENTIVE IN EMPLOYMENT.  An employee may bring an action against the employer for actual damages caused by a vaccine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the employee to receive the vaccine  as a condition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incentivizes the employee's receipt of the vaccine through any form of remuneration, compensation, or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receives the vaccine on account of the employer's requirement or incentive.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100B.003.</w:t>
      </w:r>
      <w:r>
        <w:rPr>
          <w:u w:val="single"/>
        </w:rPr>
        <w:t xml:space="preserve"> </w:t>
      </w:r>
      <w:r>
        <w:rPr>
          <w:u w:val="single"/>
        </w:rPr>
        <w:t xml:space="preserve"> </w:t>
      </w:r>
      <w:r>
        <w:rPr>
          <w:u w:val="single"/>
        </w:rPr>
        <w:t xml:space="preserve">LIABILITY FOR REQUIRING OR INCENTIVIZING VACCINE TO RECEIVE GOODS OR SERVICES.  An individual may bring an action against a person for actual damages caused by a vaccine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the individual to receive the vaccine  as a condition of receiving goods or services offered in this state  by the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incentivizes through any form of remuneration,  compensation, benefit, or discount, the individual to receive the  vaccine in connection with the provision of goods or services in this state to the individual;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receives the vaccine on account of the person's requirement or incentive.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100B.004.</w:t>
      </w:r>
      <w:r>
        <w:rPr>
          <w:u w:val="single"/>
        </w:rPr>
        <w:t xml:space="preserve"> </w:t>
      </w:r>
      <w:r>
        <w:rPr>
          <w:u w:val="single"/>
        </w:rPr>
        <w:t xml:space="preserve"> </w:t>
      </w:r>
      <w:r>
        <w:rPr>
          <w:u w:val="single"/>
        </w:rPr>
        <w:t xml:space="preserve">LIMITATIONS PERIOD.  A claimant must bring suit under this chapter not later than four years after the day the claimant knew, or reasonably should have known, of the injury or damages giving rise to the person's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100B.005.</w:t>
      </w:r>
      <w:r>
        <w:rPr>
          <w:u w:val="single"/>
        </w:rPr>
        <w:t xml:space="preserve"> </w:t>
      </w:r>
      <w:r>
        <w:rPr>
          <w:u w:val="single"/>
        </w:rPr>
        <w:t xml:space="preserve"> </w:t>
      </w:r>
      <w:r>
        <w:rPr>
          <w:u w:val="single"/>
        </w:rPr>
        <w:t xml:space="preserve">WAIVER OR LIMITATION VOID.  A person may not  waive or limit a right or remedy granted by this chapter. A purported waiver or limitation of any right or remedy granted by this chapter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100B,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